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B9876" w14:textId="74CCC9B2"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E1703D">
        <w:rPr>
          <w:rFonts w:ascii="Poppins" w:hAnsi="Poppins" w:cs="Poppins"/>
          <w:sz w:val="24"/>
          <w:szCs w:val="22"/>
          <w:u w:val="single"/>
          <w:lang w:val="es-PE"/>
        </w:rPr>
        <w:t>2</w:t>
      </w:r>
      <w:r w:rsidR="00AB08AA">
        <w:rPr>
          <w:rFonts w:ascii="Poppins" w:hAnsi="Poppins" w:cs="Poppins"/>
          <w:sz w:val="24"/>
          <w:szCs w:val="22"/>
          <w:u w:val="single"/>
          <w:lang w:val="es-PE"/>
        </w:rPr>
        <w:t>4</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1F9C7049"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AB08AA">
        <w:rPr>
          <w:rFonts w:ascii="Poppins" w:hAnsi="Poppins" w:cs="Poppins"/>
          <w:b/>
          <w:bCs/>
          <w:sz w:val="22"/>
          <w:szCs w:val="22"/>
        </w:rPr>
        <w:t>15</w:t>
      </w:r>
      <w:r w:rsidR="00316BFF">
        <w:rPr>
          <w:rFonts w:ascii="Poppins" w:hAnsi="Poppins" w:cs="Poppins"/>
          <w:b/>
          <w:bCs/>
          <w:sz w:val="22"/>
          <w:szCs w:val="22"/>
        </w:rPr>
        <w:t>/</w:t>
      </w:r>
      <w:r w:rsidR="005151B0">
        <w:rPr>
          <w:rFonts w:ascii="Poppins" w:hAnsi="Poppins" w:cs="Poppins"/>
          <w:b/>
          <w:bCs/>
          <w:sz w:val="22"/>
          <w:szCs w:val="22"/>
        </w:rPr>
        <w:t>0</w:t>
      </w:r>
      <w:r w:rsidR="00491C12">
        <w:rPr>
          <w:rFonts w:ascii="Poppins" w:hAnsi="Poppins" w:cs="Poppins"/>
          <w:b/>
          <w:bCs/>
          <w:sz w:val="22"/>
          <w:szCs w:val="22"/>
        </w:rPr>
        <w:t>6</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xml:space="preserve">: Precios del Petróleo Crudo y Combustibles en la Costa del Golfo de </w:t>
      </w:r>
      <w:proofErr w:type="gramStart"/>
      <w:r w:rsidRPr="001C2FD3">
        <w:rPr>
          <w:rFonts w:ascii="Poppins" w:hAnsi="Poppins" w:cs="Poppins"/>
          <w:i/>
          <w:sz w:val="14"/>
          <w:szCs w:val="14"/>
        </w:rPr>
        <w:t>EE.UU.</w:t>
      </w:r>
      <w:proofErr w:type="gramEnd"/>
    </w:p>
    <w:p w14:paraId="27884430" w14:textId="0AF5CA06" w:rsidR="00AB06BA" w:rsidRPr="001C2FD3" w:rsidRDefault="00A810E1"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6B84BDA1" wp14:editId="4335569D">
            <wp:extent cx="5400000" cy="3200400"/>
            <wp:effectExtent l="0" t="0" r="0" b="0"/>
            <wp:docPr id="816941885" name="Imagen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00" cy="3200400"/>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t xml:space="preserve">En agosto 2021, las expectativas en el mercado del petróleo cambiaron, respecto al mes de julio 2021; debido principalmente al impacto de la variante Delta del Coronavirus, que retrasó, a nivel </w:t>
      </w:r>
      <w:r w:rsidRPr="0096213B">
        <w:rPr>
          <w:rFonts w:ascii="Poppins" w:hAnsi="Poppins" w:cs="Poppins"/>
          <w:sz w:val="18"/>
          <w:szCs w:val="18"/>
        </w:rPr>
        <w:lastRenderedPageBreak/>
        <w:t>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24E2665B" w:rsidR="00E812D9" w:rsidRDefault="003C2110" w:rsidP="00E812D9">
      <w:pPr>
        <w:jc w:val="both"/>
        <w:rPr>
          <w:rFonts w:ascii="Poppins" w:hAnsi="Poppins" w:cs="Poppins"/>
          <w:sz w:val="18"/>
          <w:szCs w:val="18"/>
        </w:rPr>
      </w:pPr>
      <w:r w:rsidRPr="0096213B">
        <w:rPr>
          <w:rFonts w:ascii="Poppins" w:hAnsi="Poppins" w:cs="Poppins"/>
          <w:sz w:val="18"/>
          <w:szCs w:val="18"/>
        </w:rPr>
        <w:t xml:space="preserve">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w:t>
      </w:r>
      <w:r w:rsidR="00BA68AC" w:rsidRPr="0096213B">
        <w:rPr>
          <w:rFonts w:ascii="Poppins" w:hAnsi="Poppins" w:cs="Poppins"/>
          <w:sz w:val="18"/>
          <w:szCs w:val="18"/>
        </w:rPr>
        <w:t>combustibles</w:t>
      </w:r>
      <w:r w:rsidRPr="0096213B">
        <w:rPr>
          <w:rFonts w:ascii="Poppins" w:hAnsi="Poppins" w:cs="Poppins"/>
          <w:sz w:val="18"/>
          <w:szCs w:val="18"/>
        </w:rPr>
        <w:t xml:space="preserve">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4FB814CA"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92730E">
        <w:rPr>
          <w:rFonts w:ascii="Poppins" w:hAnsi="Poppins" w:cs="Poppins"/>
          <w:sz w:val="18"/>
          <w:szCs w:val="18"/>
        </w:rPr>
        <w:t>85,22</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9E527C">
        <w:rPr>
          <w:rFonts w:ascii="Poppins" w:hAnsi="Poppins" w:cs="Poppins"/>
          <w:sz w:val="18"/>
          <w:szCs w:val="18"/>
        </w:rPr>
        <w:t>1</w:t>
      </w:r>
      <w:r w:rsidR="00FF04DF">
        <w:rPr>
          <w:rFonts w:ascii="Poppins" w:hAnsi="Poppins" w:cs="Poppins"/>
          <w:sz w:val="18"/>
          <w:szCs w:val="18"/>
        </w:rPr>
        <w:t>21</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92730E">
        <w:rPr>
          <w:rFonts w:ascii="Poppins" w:hAnsi="Poppins" w:cs="Poppins"/>
          <w:sz w:val="18"/>
          <w:szCs w:val="18"/>
        </w:rPr>
        <w:t>41</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7D0310">
        <w:rPr>
          <w:rFonts w:ascii="Poppins" w:hAnsi="Poppins" w:cs="Poppins"/>
          <w:sz w:val="18"/>
          <w:szCs w:val="18"/>
        </w:rPr>
        <w:t>3</w:t>
      </w:r>
      <w:r w:rsidR="0092730E">
        <w:rPr>
          <w:rFonts w:ascii="Poppins" w:hAnsi="Poppins" w:cs="Poppins"/>
          <w:sz w:val="18"/>
          <w:szCs w:val="18"/>
        </w:rPr>
        <w:t>4</w:t>
      </w:r>
      <w:r w:rsidR="00941CD2" w:rsidRPr="00273F37">
        <w:rPr>
          <w:rFonts w:ascii="Poppins" w:hAnsi="Poppins" w:cs="Poppins"/>
          <w:sz w:val="18"/>
          <w:szCs w:val="18"/>
        </w:rPr>
        <w:t>,</w:t>
      </w:r>
      <w:r w:rsidR="0092730E">
        <w:rPr>
          <w:rFonts w:ascii="Poppins" w:hAnsi="Poppins" w:cs="Poppins"/>
          <w:sz w:val="18"/>
          <w:szCs w:val="18"/>
        </w:rPr>
        <w:t>93</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6BDFE763"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8037EE">
        <w:rPr>
          <w:rFonts w:ascii="Poppins" w:hAnsi="Poppins" w:cs="Poppins"/>
          <w:bCs/>
          <w:sz w:val="18"/>
          <w:szCs w:val="18"/>
        </w:rPr>
        <w:t>01</w:t>
      </w:r>
      <w:r w:rsidR="007D7CB0">
        <w:rPr>
          <w:rFonts w:ascii="Poppins" w:hAnsi="Poppins" w:cs="Poppins"/>
          <w:bCs/>
          <w:sz w:val="18"/>
          <w:szCs w:val="18"/>
        </w:rPr>
        <w:t>.</w:t>
      </w:r>
      <w:r w:rsidR="00B816EA">
        <w:rPr>
          <w:rFonts w:ascii="Poppins" w:hAnsi="Poppins" w:cs="Poppins"/>
          <w:bCs/>
          <w:sz w:val="18"/>
          <w:szCs w:val="18"/>
        </w:rPr>
        <w:t>0</w:t>
      </w:r>
      <w:r w:rsidR="008037EE">
        <w:rPr>
          <w:rFonts w:ascii="Poppins" w:hAnsi="Poppins" w:cs="Poppins"/>
          <w:bCs/>
          <w:sz w:val="18"/>
          <w:szCs w:val="18"/>
        </w:rPr>
        <w:t>6</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8037EE">
        <w:rPr>
          <w:rFonts w:ascii="Poppins" w:hAnsi="Poppins" w:cs="Poppins"/>
          <w:bCs/>
          <w:sz w:val="18"/>
          <w:szCs w:val="18"/>
        </w:rPr>
        <w:t>12</w:t>
      </w:r>
      <w:r w:rsidR="005151B0">
        <w:rPr>
          <w:rFonts w:ascii="Poppins" w:hAnsi="Poppins" w:cs="Poppins"/>
          <w:bCs/>
          <w:sz w:val="18"/>
          <w:szCs w:val="18"/>
        </w:rPr>
        <w:t>.0</w:t>
      </w:r>
      <w:r w:rsidR="00B44B9F">
        <w:rPr>
          <w:rFonts w:ascii="Poppins" w:hAnsi="Poppins" w:cs="Poppins"/>
          <w:bCs/>
          <w:sz w:val="18"/>
          <w:szCs w:val="18"/>
        </w:rPr>
        <w:t>6</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4E0D85B3" w14:textId="77777777" w:rsidR="00BB69C2" w:rsidRPr="005D618A" w:rsidRDefault="00BB69C2" w:rsidP="00BB69C2">
      <w:pPr>
        <w:pStyle w:val="Prrafodelista"/>
        <w:numPr>
          <w:ilvl w:val="0"/>
          <w:numId w:val="30"/>
        </w:numPr>
        <w:ind w:left="425"/>
        <w:contextualSpacing/>
        <w:jc w:val="both"/>
        <w:rPr>
          <w:rFonts w:ascii="Poppins" w:hAnsi="Poppins" w:cs="Poppins"/>
          <w:b/>
          <w:sz w:val="18"/>
          <w:szCs w:val="18"/>
        </w:rPr>
      </w:pPr>
      <w:r w:rsidRPr="005D618A">
        <w:rPr>
          <w:rFonts w:ascii="Poppins" w:hAnsi="Poppins" w:cs="Poppins"/>
          <w:b/>
          <w:sz w:val="18"/>
          <w:szCs w:val="18"/>
        </w:rPr>
        <w:t xml:space="preserve">El incremento de los inventarios de </w:t>
      </w:r>
      <w:r>
        <w:rPr>
          <w:rFonts w:ascii="Poppins" w:hAnsi="Poppins" w:cs="Poppins"/>
          <w:b/>
          <w:sz w:val="18"/>
          <w:szCs w:val="18"/>
        </w:rPr>
        <w:t xml:space="preserve">gasolinas </w:t>
      </w:r>
      <w:r w:rsidRPr="005D618A">
        <w:rPr>
          <w:rFonts w:ascii="Poppins" w:hAnsi="Poppins" w:cs="Poppins"/>
          <w:b/>
          <w:sz w:val="18"/>
          <w:szCs w:val="18"/>
        </w:rPr>
        <w:t xml:space="preserve">y propano, así como el descenso de las existencias de </w:t>
      </w:r>
      <w:r>
        <w:rPr>
          <w:rFonts w:ascii="Poppins" w:hAnsi="Poppins" w:cs="Poppins"/>
          <w:b/>
          <w:sz w:val="18"/>
          <w:szCs w:val="18"/>
        </w:rPr>
        <w:t>crudo y destilado medio</w:t>
      </w:r>
      <w:r w:rsidRPr="005D618A">
        <w:rPr>
          <w:rFonts w:ascii="Poppins" w:hAnsi="Poppins" w:cs="Poppins"/>
          <w:b/>
          <w:sz w:val="18"/>
          <w:szCs w:val="18"/>
        </w:rPr>
        <w:t xml:space="preserve">, al </w:t>
      </w:r>
      <w:r>
        <w:rPr>
          <w:rFonts w:ascii="Poppins" w:hAnsi="Poppins" w:cs="Poppins"/>
          <w:b/>
          <w:sz w:val="18"/>
          <w:szCs w:val="18"/>
        </w:rPr>
        <w:t>05</w:t>
      </w:r>
      <w:r w:rsidRPr="005D618A">
        <w:rPr>
          <w:rFonts w:ascii="Poppins" w:hAnsi="Poppins" w:cs="Poppins"/>
          <w:b/>
          <w:sz w:val="18"/>
          <w:szCs w:val="18"/>
        </w:rPr>
        <w:t xml:space="preserve"> de </w:t>
      </w:r>
      <w:r>
        <w:rPr>
          <w:rFonts w:ascii="Poppins" w:hAnsi="Poppins" w:cs="Poppins"/>
          <w:b/>
          <w:sz w:val="18"/>
          <w:szCs w:val="18"/>
        </w:rPr>
        <w:t>junio</w:t>
      </w:r>
      <w:r w:rsidRPr="005D618A">
        <w:rPr>
          <w:rFonts w:ascii="Poppins" w:hAnsi="Poppins" w:cs="Poppins"/>
          <w:b/>
          <w:sz w:val="18"/>
          <w:szCs w:val="18"/>
        </w:rPr>
        <w:t xml:space="preserve"> del 2026</w:t>
      </w:r>
    </w:p>
    <w:p w14:paraId="77CF0B80" w14:textId="77777777" w:rsidR="00BB69C2" w:rsidRPr="005D618A" w:rsidRDefault="00BB69C2" w:rsidP="00BB69C2">
      <w:pPr>
        <w:shd w:val="clear" w:color="auto" w:fill="FFFFFF"/>
        <w:ind w:left="425"/>
        <w:jc w:val="both"/>
        <w:rPr>
          <w:rFonts w:ascii="Poppins" w:hAnsi="Poppins" w:cs="Poppins"/>
          <w:sz w:val="18"/>
          <w:szCs w:val="18"/>
        </w:rPr>
      </w:pPr>
    </w:p>
    <w:p w14:paraId="5CF927C8" w14:textId="77777777" w:rsidR="00BB69C2" w:rsidRPr="005D618A" w:rsidRDefault="00BB69C2" w:rsidP="00BB69C2">
      <w:pPr>
        <w:shd w:val="clear" w:color="auto" w:fill="FFFFFF"/>
        <w:ind w:left="425"/>
        <w:jc w:val="both"/>
        <w:rPr>
          <w:rFonts w:ascii="Poppins" w:hAnsi="Poppins" w:cs="Poppins"/>
          <w:sz w:val="18"/>
          <w:szCs w:val="18"/>
        </w:rPr>
      </w:pPr>
      <w:r w:rsidRPr="005D618A">
        <w:rPr>
          <w:rFonts w:ascii="Poppins" w:hAnsi="Poppins" w:cs="Poppins"/>
          <w:sz w:val="18"/>
          <w:szCs w:val="18"/>
        </w:rPr>
        <w:t xml:space="preserve">Los inventarios de petróleo de Estados Unidos se </w:t>
      </w:r>
      <w:r>
        <w:rPr>
          <w:rFonts w:ascii="Poppins" w:hAnsi="Poppins" w:cs="Poppins"/>
          <w:sz w:val="18"/>
          <w:szCs w:val="18"/>
        </w:rPr>
        <w:t>redujeron</w:t>
      </w:r>
      <w:r w:rsidRPr="005D618A">
        <w:rPr>
          <w:rFonts w:ascii="Poppins" w:hAnsi="Poppins" w:cs="Poppins"/>
          <w:sz w:val="18"/>
          <w:szCs w:val="18"/>
        </w:rPr>
        <w:t xml:space="preserve"> en </w:t>
      </w:r>
      <w:r>
        <w:rPr>
          <w:rFonts w:ascii="Poppins" w:hAnsi="Poppins" w:cs="Poppins"/>
          <w:sz w:val="18"/>
          <w:szCs w:val="18"/>
        </w:rPr>
        <w:t>7,2</w:t>
      </w:r>
      <w:r w:rsidRPr="005D618A">
        <w:rPr>
          <w:rFonts w:ascii="Poppins" w:hAnsi="Poppins" w:cs="Poppins"/>
          <w:sz w:val="18"/>
          <w:szCs w:val="18"/>
        </w:rPr>
        <w:t xml:space="preserve"> millones de barriles alcanzando los 4</w:t>
      </w:r>
      <w:r>
        <w:rPr>
          <w:rFonts w:ascii="Poppins" w:hAnsi="Poppins" w:cs="Poppins"/>
          <w:sz w:val="18"/>
          <w:szCs w:val="18"/>
        </w:rPr>
        <w:t>26,5</w:t>
      </w:r>
      <w:r w:rsidRPr="005D618A">
        <w:rPr>
          <w:rFonts w:ascii="Poppins" w:hAnsi="Poppins" w:cs="Poppins"/>
          <w:sz w:val="18"/>
          <w:szCs w:val="18"/>
        </w:rPr>
        <w:t xml:space="preserve"> millones de barriles, ubicándose en un </w:t>
      </w:r>
      <w:r>
        <w:rPr>
          <w:rFonts w:ascii="Poppins" w:hAnsi="Poppins" w:cs="Poppins"/>
          <w:sz w:val="18"/>
          <w:szCs w:val="18"/>
        </w:rPr>
        <w:t>-5</w:t>
      </w:r>
      <w:r w:rsidRPr="005D618A">
        <w:rPr>
          <w:rFonts w:ascii="Poppins" w:hAnsi="Poppins" w:cs="Poppins"/>
          <w:sz w:val="18"/>
          <w:szCs w:val="18"/>
        </w:rPr>
        <w:t xml:space="preserve">% por </w:t>
      </w:r>
      <w:r>
        <w:rPr>
          <w:rFonts w:ascii="Poppins" w:hAnsi="Poppins" w:cs="Poppins"/>
          <w:sz w:val="18"/>
          <w:szCs w:val="18"/>
        </w:rPr>
        <w:t>debajo</w:t>
      </w:r>
      <w:r w:rsidRPr="005D618A">
        <w:rPr>
          <w:rFonts w:ascii="Poppins" w:hAnsi="Poppins" w:cs="Poppins"/>
          <w:sz w:val="18"/>
          <w:szCs w:val="18"/>
        </w:rPr>
        <w:t xml:space="preserve"> de la media de los últimos 5 años, para esta época del año</w:t>
      </w:r>
      <w:r>
        <w:rPr>
          <w:rFonts w:ascii="Poppins" w:hAnsi="Poppins" w:cs="Poppins"/>
          <w:sz w:val="18"/>
          <w:szCs w:val="18"/>
        </w:rPr>
        <w:t>.</w:t>
      </w:r>
    </w:p>
    <w:p w14:paraId="5D780E47" w14:textId="77777777" w:rsidR="00BB69C2" w:rsidRPr="005D618A" w:rsidRDefault="00BB69C2" w:rsidP="00BB69C2">
      <w:pPr>
        <w:shd w:val="clear" w:color="auto" w:fill="FFFFFF"/>
        <w:ind w:left="425"/>
        <w:jc w:val="both"/>
        <w:rPr>
          <w:rFonts w:ascii="Poppins" w:hAnsi="Poppins" w:cs="Poppins"/>
          <w:sz w:val="18"/>
          <w:szCs w:val="18"/>
        </w:rPr>
      </w:pPr>
    </w:p>
    <w:p w14:paraId="61C8A5D6" w14:textId="77777777" w:rsidR="00BB69C2" w:rsidRPr="005D618A" w:rsidRDefault="00BB69C2" w:rsidP="00BB69C2">
      <w:pPr>
        <w:shd w:val="clear" w:color="auto" w:fill="FFFFFF"/>
        <w:ind w:left="425"/>
        <w:jc w:val="both"/>
        <w:rPr>
          <w:rFonts w:ascii="Poppins" w:hAnsi="Poppins" w:cs="Poppins"/>
          <w:sz w:val="18"/>
          <w:szCs w:val="18"/>
        </w:rPr>
      </w:pPr>
      <w:r w:rsidRPr="005D618A">
        <w:rPr>
          <w:rFonts w:ascii="Poppins" w:hAnsi="Poppins" w:cs="Poppins"/>
          <w:sz w:val="18"/>
          <w:szCs w:val="18"/>
        </w:rPr>
        <w:t xml:space="preserve">Por su parte, las existencias de gasolinas </w:t>
      </w:r>
      <w:r>
        <w:rPr>
          <w:rFonts w:ascii="Poppins" w:hAnsi="Poppins" w:cs="Poppins"/>
          <w:sz w:val="18"/>
          <w:szCs w:val="18"/>
        </w:rPr>
        <w:t xml:space="preserve">se incrementaron </w:t>
      </w:r>
      <w:r w:rsidRPr="005D618A">
        <w:rPr>
          <w:rFonts w:ascii="Poppins" w:hAnsi="Poppins" w:cs="Poppins"/>
          <w:sz w:val="18"/>
          <w:szCs w:val="18"/>
        </w:rPr>
        <w:t>en</w:t>
      </w:r>
      <w:r>
        <w:rPr>
          <w:rFonts w:ascii="Poppins" w:hAnsi="Poppins" w:cs="Poppins"/>
          <w:sz w:val="18"/>
          <w:szCs w:val="18"/>
        </w:rPr>
        <w:t xml:space="preserve"> 0,2</w:t>
      </w:r>
      <w:r w:rsidRPr="005D618A">
        <w:rPr>
          <w:rFonts w:ascii="Poppins" w:hAnsi="Poppins" w:cs="Poppins"/>
          <w:sz w:val="18"/>
          <w:szCs w:val="18"/>
        </w:rPr>
        <w:t xml:space="preserve"> millones de barriles, reportando un total de 2</w:t>
      </w:r>
      <w:r>
        <w:rPr>
          <w:rFonts w:ascii="Poppins" w:hAnsi="Poppins" w:cs="Poppins"/>
          <w:sz w:val="18"/>
          <w:szCs w:val="18"/>
        </w:rPr>
        <w:t>15,1</w:t>
      </w:r>
      <w:r w:rsidRPr="005D618A">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 xml:space="preserve">cayeron </w:t>
      </w:r>
      <w:r w:rsidRPr="005D618A">
        <w:rPr>
          <w:rFonts w:ascii="Poppins" w:hAnsi="Poppins" w:cs="Poppins"/>
          <w:sz w:val="18"/>
          <w:szCs w:val="18"/>
        </w:rPr>
        <w:t>en</w:t>
      </w:r>
      <w:r>
        <w:rPr>
          <w:rFonts w:ascii="Poppins" w:hAnsi="Poppins" w:cs="Poppins"/>
          <w:sz w:val="18"/>
          <w:szCs w:val="18"/>
        </w:rPr>
        <w:t xml:space="preserve"> 0,2 </w:t>
      </w:r>
      <w:r w:rsidRPr="005D618A">
        <w:rPr>
          <w:rFonts w:ascii="Poppins" w:hAnsi="Poppins" w:cs="Poppins"/>
          <w:sz w:val="18"/>
          <w:szCs w:val="18"/>
        </w:rPr>
        <w:t>millones de barriles, ubicándose en 10</w:t>
      </w:r>
      <w:r>
        <w:rPr>
          <w:rFonts w:ascii="Poppins" w:hAnsi="Poppins" w:cs="Poppins"/>
          <w:sz w:val="18"/>
          <w:szCs w:val="18"/>
        </w:rPr>
        <w:t>2</w:t>
      </w:r>
      <w:r w:rsidRPr="005D618A">
        <w:rPr>
          <w:rFonts w:ascii="Poppins" w:hAnsi="Poppins" w:cs="Poppins"/>
          <w:sz w:val="18"/>
          <w:szCs w:val="18"/>
        </w:rPr>
        <w:t>,</w:t>
      </w:r>
      <w:r>
        <w:rPr>
          <w:rFonts w:ascii="Poppins" w:hAnsi="Poppins" w:cs="Poppins"/>
          <w:sz w:val="18"/>
          <w:szCs w:val="18"/>
        </w:rPr>
        <w:t>1</w:t>
      </w:r>
      <w:r w:rsidRPr="005D618A">
        <w:rPr>
          <w:rFonts w:ascii="Poppins" w:hAnsi="Poppins" w:cs="Poppins"/>
          <w:sz w:val="18"/>
          <w:szCs w:val="18"/>
        </w:rPr>
        <w:t xml:space="preserve"> millones de barriles</w:t>
      </w:r>
      <w:r>
        <w:rPr>
          <w:rFonts w:ascii="Poppins" w:hAnsi="Poppins" w:cs="Poppins"/>
          <w:sz w:val="18"/>
          <w:szCs w:val="18"/>
        </w:rPr>
        <w:t>.</w:t>
      </w:r>
    </w:p>
    <w:p w14:paraId="698F0018" w14:textId="77777777" w:rsidR="00BB69C2" w:rsidRPr="005D618A" w:rsidRDefault="00BB69C2" w:rsidP="00BB69C2">
      <w:pPr>
        <w:shd w:val="clear" w:color="auto" w:fill="FFFFFF"/>
        <w:ind w:left="425"/>
        <w:jc w:val="both"/>
        <w:rPr>
          <w:rFonts w:ascii="Poppins" w:hAnsi="Poppins" w:cs="Poppins"/>
          <w:sz w:val="18"/>
          <w:szCs w:val="18"/>
        </w:rPr>
      </w:pPr>
    </w:p>
    <w:p w14:paraId="2E039480" w14:textId="77777777" w:rsidR="00BB69C2" w:rsidRPr="005D618A" w:rsidRDefault="00BB69C2" w:rsidP="00BB69C2">
      <w:pPr>
        <w:shd w:val="clear" w:color="auto" w:fill="FFFFFF"/>
        <w:ind w:left="425"/>
        <w:jc w:val="both"/>
        <w:rPr>
          <w:rFonts w:ascii="Poppins" w:hAnsi="Poppins" w:cs="Poppins"/>
          <w:sz w:val="18"/>
          <w:szCs w:val="18"/>
        </w:rPr>
      </w:pPr>
      <w:r w:rsidRPr="005D618A">
        <w:rPr>
          <w:rFonts w:ascii="Poppins" w:hAnsi="Poppins" w:cs="Poppins"/>
          <w:sz w:val="18"/>
          <w:szCs w:val="18"/>
        </w:rPr>
        <w:t>Finalmente, las existencias de propano aumentaron en</w:t>
      </w:r>
      <w:r>
        <w:rPr>
          <w:rFonts w:ascii="Poppins" w:hAnsi="Poppins" w:cs="Poppins"/>
          <w:sz w:val="18"/>
          <w:szCs w:val="18"/>
        </w:rPr>
        <w:t xml:space="preserve"> 1,14 </w:t>
      </w:r>
      <w:r w:rsidRPr="005D618A">
        <w:rPr>
          <w:rFonts w:ascii="Poppins" w:hAnsi="Poppins" w:cs="Poppins"/>
          <w:sz w:val="18"/>
          <w:szCs w:val="18"/>
        </w:rPr>
        <w:t xml:space="preserve">millones de barriles, registrando un nivel de </w:t>
      </w:r>
      <w:r>
        <w:rPr>
          <w:rFonts w:ascii="Poppins" w:hAnsi="Poppins" w:cs="Poppins"/>
          <w:sz w:val="18"/>
          <w:szCs w:val="18"/>
        </w:rPr>
        <w:t xml:space="preserve">84,46 </w:t>
      </w:r>
      <w:r w:rsidRPr="005D618A">
        <w:rPr>
          <w:rFonts w:ascii="Poppins" w:hAnsi="Poppins" w:cs="Poppins"/>
          <w:sz w:val="18"/>
          <w:szCs w:val="18"/>
        </w:rPr>
        <w:t>millones de barriles</w:t>
      </w:r>
      <w:r>
        <w:rPr>
          <w:rFonts w:ascii="Poppins" w:hAnsi="Poppins" w:cs="Poppins"/>
          <w:sz w:val="18"/>
          <w:szCs w:val="18"/>
        </w:rPr>
        <w:t>.</w:t>
      </w:r>
    </w:p>
    <w:p w14:paraId="5A64CF09" w14:textId="77777777" w:rsidR="00BB69C2" w:rsidRPr="007654D3" w:rsidRDefault="00BB69C2" w:rsidP="00BB69C2">
      <w:pPr>
        <w:jc w:val="both"/>
        <w:rPr>
          <w:rFonts w:ascii="Poppins" w:hAnsi="Poppins" w:cs="Poppins"/>
          <w:b/>
          <w:sz w:val="18"/>
          <w:szCs w:val="18"/>
          <w:highlight w:val="yellow"/>
        </w:rPr>
      </w:pPr>
    </w:p>
    <w:p w14:paraId="6867729F" w14:textId="77777777" w:rsidR="00BB69C2" w:rsidRPr="00BC3B7E" w:rsidRDefault="00BB69C2" w:rsidP="00BB69C2">
      <w:pPr>
        <w:pStyle w:val="Prrafodelista"/>
        <w:numPr>
          <w:ilvl w:val="0"/>
          <w:numId w:val="30"/>
        </w:numPr>
        <w:ind w:left="425"/>
        <w:contextualSpacing/>
        <w:jc w:val="both"/>
        <w:rPr>
          <w:rFonts w:ascii="Poppins" w:hAnsi="Poppins" w:cs="Poppins"/>
          <w:b/>
          <w:sz w:val="18"/>
          <w:szCs w:val="18"/>
        </w:rPr>
      </w:pPr>
      <w:proofErr w:type="gramStart"/>
      <w:r w:rsidRPr="00BC3B7E">
        <w:rPr>
          <w:rFonts w:ascii="Poppins" w:hAnsi="Poppins" w:cs="Poppins"/>
          <w:b/>
          <w:sz w:val="18"/>
          <w:szCs w:val="18"/>
        </w:rPr>
        <w:t>EE.UU.</w:t>
      </w:r>
      <w:proofErr w:type="gramEnd"/>
      <w:r w:rsidRPr="00BC3B7E">
        <w:rPr>
          <w:rFonts w:ascii="Poppins" w:hAnsi="Poppins" w:cs="Poppins"/>
          <w:b/>
          <w:sz w:val="18"/>
          <w:szCs w:val="18"/>
        </w:rPr>
        <w:t xml:space="preserve"> e Irán </w:t>
      </w:r>
      <w:r>
        <w:rPr>
          <w:rFonts w:ascii="Poppins" w:hAnsi="Poppins" w:cs="Poppins"/>
          <w:b/>
          <w:sz w:val="18"/>
          <w:szCs w:val="18"/>
        </w:rPr>
        <w:t>avanzan hacia un acuerdo marco</w:t>
      </w:r>
      <w:r w:rsidRPr="00BC3B7E">
        <w:rPr>
          <w:rFonts w:ascii="Poppins" w:hAnsi="Poppins" w:cs="Poppins"/>
          <w:b/>
          <w:sz w:val="18"/>
          <w:szCs w:val="18"/>
        </w:rPr>
        <w:t>, aunque la reapertura plena</w:t>
      </w:r>
      <w:r>
        <w:rPr>
          <w:rFonts w:ascii="Poppins" w:hAnsi="Poppins" w:cs="Poppins"/>
          <w:b/>
          <w:sz w:val="18"/>
          <w:szCs w:val="18"/>
        </w:rPr>
        <w:t xml:space="preserve"> y sin peajes</w:t>
      </w:r>
      <w:r w:rsidRPr="00BC3B7E">
        <w:rPr>
          <w:rFonts w:ascii="Poppins" w:hAnsi="Poppins" w:cs="Poppins"/>
          <w:b/>
          <w:sz w:val="18"/>
          <w:szCs w:val="18"/>
        </w:rPr>
        <w:t xml:space="preserve"> del Estrecho de Ormuz </w:t>
      </w:r>
      <w:r w:rsidRPr="00B605C6">
        <w:rPr>
          <w:rFonts w:ascii="Poppins" w:hAnsi="Poppins" w:cs="Poppins"/>
          <w:b/>
          <w:sz w:val="18"/>
          <w:szCs w:val="18"/>
        </w:rPr>
        <w:t>y los detalles del acuerdo nuclear siguen definiendo el riesgo petrolero</w:t>
      </w:r>
    </w:p>
    <w:p w14:paraId="63A51C3F" w14:textId="77777777" w:rsidR="00BB69C2" w:rsidRPr="00BC3B7E" w:rsidRDefault="00BB69C2" w:rsidP="00BB69C2">
      <w:pPr>
        <w:jc w:val="both"/>
        <w:rPr>
          <w:rFonts w:ascii="Poppins" w:hAnsi="Poppins" w:cs="Poppins"/>
          <w:b/>
          <w:sz w:val="18"/>
          <w:szCs w:val="18"/>
        </w:rPr>
      </w:pPr>
    </w:p>
    <w:p w14:paraId="50397899" w14:textId="77777777" w:rsidR="00BB69C2" w:rsidRPr="00BC3B7E" w:rsidRDefault="00BB69C2" w:rsidP="00BB69C2">
      <w:pPr>
        <w:shd w:val="clear" w:color="auto" w:fill="FFFFFF"/>
        <w:ind w:left="425"/>
        <w:jc w:val="both"/>
        <w:rPr>
          <w:rFonts w:ascii="Poppins" w:hAnsi="Poppins" w:cs="Poppins"/>
          <w:sz w:val="18"/>
          <w:szCs w:val="18"/>
        </w:rPr>
      </w:pPr>
      <w:r w:rsidRPr="00BC3B7E">
        <w:rPr>
          <w:rFonts w:ascii="Poppins" w:hAnsi="Poppins" w:cs="Poppins"/>
          <w:sz w:val="18"/>
          <w:szCs w:val="18"/>
        </w:rPr>
        <w:lastRenderedPageBreak/>
        <w:t xml:space="preserve">Durante las últimas semanas del mes de febrero, el frente diplomático quedó subordinado a una dinámica de confrontación abierta. Tras los contactos nucleares indirectos de Ginebra del 26 y 27 de febrero, que no produjeron avances, la ofensiva conjunta de </w:t>
      </w:r>
      <w:proofErr w:type="gramStart"/>
      <w:r w:rsidRPr="00BC3B7E">
        <w:rPr>
          <w:rFonts w:ascii="Poppins" w:hAnsi="Poppins" w:cs="Poppins"/>
          <w:sz w:val="18"/>
          <w:szCs w:val="18"/>
        </w:rPr>
        <w:t>EE.UU.</w:t>
      </w:r>
      <w:proofErr w:type="gramEnd"/>
      <w:r w:rsidRPr="00BC3B7E">
        <w:rPr>
          <w:rFonts w:ascii="Poppins" w:hAnsi="Poppins" w:cs="Poppins"/>
          <w:sz w:val="18"/>
          <w:szCs w:val="18"/>
        </w:rPr>
        <w:t xml:space="preserve"> e Israel iniciada el 28 de febrero rompió el frágil equilibrio previo. En los días siguientes, Irán endureció su postura, respaldó el cierre de Ormuz y Donald Trump elevó la presión con amenazas cada vez más directas, hasta pasar del lenguaje de advertencia a exigencias de “rendición incondicional”.</w:t>
      </w:r>
    </w:p>
    <w:p w14:paraId="47D46C02" w14:textId="77777777" w:rsidR="00BB69C2" w:rsidRPr="00BC3B7E" w:rsidRDefault="00BB69C2" w:rsidP="00BB69C2">
      <w:pPr>
        <w:shd w:val="clear" w:color="auto" w:fill="FFFFFF"/>
        <w:ind w:left="425"/>
        <w:jc w:val="both"/>
        <w:rPr>
          <w:rFonts w:ascii="Poppins" w:hAnsi="Poppins" w:cs="Poppins"/>
          <w:sz w:val="18"/>
          <w:szCs w:val="18"/>
        </w:rPr>
      </w:pPr>
    </w:p>
    <w:p w14:paraId="3B406E2E" w14:textId="77777777" w:rsidR="00BB69C2" w:rsidRPr="00BC3B7E" w:rsidRDefault="00BB69C2" w:rsidP="00BB69C2">
      <w:pPr>
        <w:shd w:val="clear" w:color="auto" w:fill="FFFFFF"/>
        <w:ind w:left="425"/>
        <w:jc w:val="both"/>
        <w:rPr>
          <w:rFonts w:ascii="Poppins" w:hAnsi="Poppins" w:cs="Poppins"/>
          <w:sz w:val="18"/>
          <w:szCs w:val="18"/>
        </w:rPr>
      </w:pPr>
      <w:r w:rsidRPr="00BC3B7E">
        <w:rPr>
          <w:rFonts w:ascii="Poppins" w:hAnsi="Poppins" w:cs="Poppins"/>
          <w:sz w:val="18"/>
          <w:szCs w:val="18"/>
        </w:rPr>
        <w:t xml:space="preserve">La escalada dio un salto importante el 13 de marzo, cuando Trump anunció ataques estadounidenses contra objetivos militares en </w:t>
      </w:r>
      <w:proofErr w:type="spellStart"/>
      <w:r w:rsidRPr="00BC3B7E">
        <w:rPr>
          <w:rFonts w:ascii="Poppins" w:hAnsi="Poppins" w:cs="Poppins"/>
          <w:sz w:val="18"/>
          <w:szCs w:val="18"/>
        </w:rPr>
        <w:t>Kharg</w:t>
      </w:r>
      <w:proofErr w:type="spellEnd"/>
      <w:r w:rsidRPr="00BC3B7E">
        <w:rPr>
          <w:rFonts w:ascii="Poppins" w:hAnsi="Poppins" w:cs="Poppins"/>
          <w:sz w:val="18"/>
          <w:szCs w:val="18"/>
        </w:rPr>
        <w:t xml:space="preserve">, isla que concentra cerca del 90% de las exportaciones petroleras de Irán. EE. UU. afirmó haber destruido blancos militares sin golpear directamente la infraestructura petrolera, aunque dejó explícita la amenaza de ampliar los ataques si Irán seguía interfiriendo en Ormuz. Un día después, CENTCOM informó ataques contra más de 90 objetivos militares en </w:t>
      </w:r>
      <w:proofErr w:type="spellStart"/>
      <w:r w:rsidRPr="00BC3B7E">
        <w:rPr>
          <w:rFonts w:ascii="Poppins" w:hAnsi="Poppins" w:cs="Poppins"/>
          <w:sz w:val="18"/>
          <w:szCs w:val="18"/>
        </w:rPr>
        <w:t>Kharg</w:t>
      </w:r>
      <w:proofErr w:type="spellEnd"/>
      <w:r w:rsidRPr="00BC3B7E">
        <w:rPr>
          <w:rFonts w:ascii="Poppins" w:hAnsi="Poppins" w:cs="Poppins"/>
          <w:sz w:val="18"/>
          <w:szCs w:val="18"/>
        </w:rPr>
        <w:t>, manteniendo intactas las instalaciones petroleras, pero dejando clara la disposición de Washington a presionar sobre el principal nodo exportador iraní.</w:t>
      </w:r>
    </w:p>
    <w:p w14:paraId="31CFB24E" w14:textId="77777777" w:rsidR="00BB69C2" w:rsidRPr="00BC3B7E" w:rsidRDefault="00BB69C2" w:rsidP="00BB69C2">
      <w:pPr>
        <w:shd w:val="clear" w:color="auto" w:fill="FFFFFF"/>
        <w:ind w:left="425"/>
        <w:jc w:val="both"/>
        <w:rPr>
          <w:rFonts w:ascii="Poppins" w:hAnsi="Poppins" w:cs="Poppins"/>
          <w:sz w:val="18"/>
          <w:szCs w:val="18"/>
        </w:rPr>
      </w:pPr>
    </w:p>
    <w:p w14:paraId="07F81AC7" w14:textId="77777777" w:rsidR="00BB69C2" w:rsidRPr="00BC3B7E" w:rsidRDefault="00BB69C2" w:rsidP="00BB69C2">
      <w:pPr>
        <w:shd w:val="clear" w:color="auto" w:fill="FFFFFF"/>
        <w:ind w:left="425"/>
        <w:jc w:val="both"/>
        <w:rPr>
          <w:rFonts w:ascii="Poppins" w:hAnsi="Poppins" w:cs="Poppins"/>
          <w:sz w:val="18"/>
          <w:szCs w:val="18"/>
        </w:rPr>
      </w:pPr>
      <w:r w:rsidRPr="00BC3B7E">
        <w:rPr>
          <w:rFonts w:ascii="Poppins" w:hAnsi="Poppins" w:cs="Poppins"/>
          <w:sz w:val="18"/>
          <w:szCs w:val="18"/>
        </w:rPr>
        <w:t xml:space="preserve">Durante la segunda quincena de marzo, la confrontación combinó coerción militar, amenazas sobre infraestructura energética y pausas tácticas. Trump evaluó incluso ocupar o bloquear </w:t>
      </w:r>
      <w:proofErr w:type="spellStart"/>
      <w:r w:rsidRPr="00BC3B7E">
        <w:rPr>
          <w:rFonts w:ascii="Poppins" w:hAnsi="Poppins" w:cs="Poppins"/>
          <w:sz w:val="18"/>
          <w:szCs w:val="18"/>
        </w:rPr>
        <w:t>Kharg</w:t>
      </w:r>
      <w:proofErr w:type="spellEnd"/>
      <w:r w:rsidRPr="00BC3B7E">
        <w:rPr>
          <w:rFonts w:ascii="Poppins" w:hAnsi="Poppins" w:cs="Poppins"/>
          <w:sz w:val="18"/>
          <w:szCs w:val="18"/>
        </w:rPr>
        <w:t xml:space="preserve"> para forzar la reapertura de Ormuz, mientras Irán advirtió que una mayor escalada sobre su litoral, islas o infraestructura energética podía derivar en un cierre más agresivo del Golfo, incluido el eventual uso de minas marinas. Aunque el 23 de marzo Trump anunció una pausa inicial en ataques contra plantas energéticas iraníes y el 26 de marzo la amplió por 10 días, hasta el 6 de abril, Irán negó contactos formales y calificó la propuesta estadounidense como sesgada e injusta.</w:t>
      </w:r>
    </w:p>
    <w:p w14:paraId="5427FFDC" w14:textId="77777777" w:rsidR="00BB69C2" w:rsidRPr="00BC3B7E" w:rsidRDefault="00BB69C2" w:rsidP="00BB69C2">
      <w:pPr>
        <w:shd w:val="clear" w:color="auto" w:fill="FFFFFF"/>
        <w:ind w:left="425"/>
        <w:jc w:val="both"/>
        <w:rPr>
          <w:rFonts w:ascii="Poppins" w:hAnsi="Poppins" w:cs="Poppins"/>
          <w:sz w:val="18"/>
          <w:szCs w:val="18"/>
        </w:rPr>
      </w:pPr>
    </w:p>
    <w:p w14:paraId="1D8F8446" w14:textId="77777777" w:rsidR="00BB69C2" w:rsidRPr="00BC3B7E" w:rsidRDefault="00BB69C2" w:rsidP="00BB69C2">
      <w:pPr>
        <w:shd w:val="clear" w:color="auto" w:fill="FFFFFF"/>
        <w:ind w:left="425"/>
        <w:jc w:val="both"/>
        <w:rPr>
          <w:rFonts w:ascii="Poppins" w:hAnsi="Poppins" w:cs="Poppins"/>
          <w:sz w:val="18"/>
          <w:szCs w:val="18"/>
        </w:rPr>
      </w:pPr>
      <w:r w:rsidRPr="00BC3B7E">
        <w:rPr>
          <w:rFonts w:ascii="Poppins" w:hAnsi="Poppins" w:cs="Poppins"/>
          <w:sz w:val="18"/>
          <w:szCs w:val="18"/>
        </w:rPr>
        <w:t>A fines de marzo e inicios de abril, el mercado dejó de reaccionar solo a las señales verbales de Trump y empezó a asumir que la guerra podía prolongarse. La falta de avances diplomáticos verificables, la persistencia del riesgo sobre Ormuz y la continuidad de amenazas contra Irán reforzaron la percepción de una crisis con capacidad real de alterar el equilibrio energético mundial. En ese contexto, el crudo volvió a dispararse y la volatilidad aumentó.</w:t>
      </w:r>
    </w:p>
    <w:p w14:paraId="25D233BE" w14:textId="77777777" w:rsidR="00BB69C2" w:rsidRPr="00BC3B7E" w:rsidRDefault="00BB69C2" w:rsidP="00BB69C2">
      <w:pPr>
        <w:shd w:val="clear" w:color="auto" w:fill="FFFFFF"/>
        <w:ind w:left="425"/>
        <w:jc w:val="both"/>
        <w:rPr>
          <w:rFonts w:ascii="Poppins" w:hAnsi="Poppins" w:cs="Poppins"/>
          <w:sz w:val="18"/>
          <w:szCs w:val="18"/>
        </w:rPr>
      </w:pPr>
    </w:p>
    <w:p w14:paraId="0C17D05A" w14:textId="77777777" w:rsidR="00BB69C2" w:rsidRPr="00BC3B7E" w:rsidRDefault="00BB69C2" w:rsidP="00BB69C2">
      <w:pPr>
        <w:shd w:val="clear" w:color="auto" w:fill="FFFFFF"/>
        <w:ind w:left="425"/>
        <w:jc w:val="both"/>
        <w:rPr>
          <w:rFonts w:ascii="Poppins" w:hAnsi="Poppins" w:cs="Poppins"/>
          <w:sz w:val="18"/>
          <w:szCs w:val="18"/>
        </w:rPr>
      </w:pPr>
      <w:r w:rsidRPr="00BC3B7E">
        <w:rPr>
          <w:rFonts w:ascii="Poppins" w:hAnsi="Poppins" w:cs="Poppins"/>
          <w:sz w:val="18"/>
          <w:szCs w:val="18"/>
        </w:rPr>
        <w:t>En abril, la crisis entró en una fase más ambigua, marcada por treguas tácticas, negociaciones incompletas y presión marítima. Los intentos de mediación regional, especialmente de Pakistán, desembocaron en una tregua temporal entre EE. UU. e Irán, que provocó una fuerte corrección del crudo entre el 8 y 10 de abril. Sin embargo, el alivio fue incompleto, pues la reapertura operativa del sistema energético regional siguió siendo incierta y cerca de 187 tanqueros permanecían dentro del Golfo con unos 172 millones de barriles de crudo y refinados pendientes de evacuación.</w:t>
      </w:r>
    </w:p>
    <w:p w14:paraId="08A0B563" w14:textId="77777777" w:rsidR="00BB69C2" w:rsidRPr="00BC3B7E" w:rsidRDefault="00BB69C2" w:rsidP="00BB69C2">
      <w:pPr>
        <w:shd w:val="clear" w:color="auto" w:fill="FFFFFF"/>
        <w:ind w:left="425"/>
        <w:jc w:val="both"/>
        <w:rPr>
          <w:rFonts w:ascii="Poppins" w:hAnsi="Poppins" w:cs="Poppins"/>
          <w:sz w:val="18"/>
          <w:szCs w:val="18"/>
        </w:rPr>
      </w:pPr>
    </w:p>
    <w:p w14:paraId="185B3C48" w14:textId="77777777" w:rsidR="00BB69C2" w:rsidRPr="00BC3B7E" w:rsidRDefault="00BB69C2" w:rsidP="00BB69C2">
      <w:pPr>
        <w:shd w:val="clear" w:color="auto" w:fill="FFFFFF"/>
        <w:ind w:left="425"/>
        <w:jc w:val="both"/>
        <w:rPr>
          <w:rFonts w:ascii="Poppins" w:hAnsi="Poppins" w:cs="Poppins"/>
          <w:sz w:val="18"/>
          <w:szCs w:val="18"/>
        </w:rPr>
      </w:pPr>
      <w:r w:rsidRPr="00BC3B7E">
        <w:rPr>
          <w:rFonts w:ascii="Poppins" w:hAnsi="Poppins" w:cs="Poppins"/>
          <w:sz w:val="18"/>
          <w:szCs w:val="18"/>
        </w:rPr>
        <w:t>Entre el 11 y 12 de abril, EE. UU. e Irán sostuvieron en Islamabad la ronda más importante de conversaciones de alto nivel en décadas, pero el encuentro terminó sin acuerdo. Ambas partes dejaron abierta la puerta al diálogo, aunque persistieron desacuerdos sobre el programa nuclear iraní, el alivio de sanciones y la seguridad marítima en el Golfo. A partir del 14 de abril, EE. UU. mantuvo la presión marítima y económica, mientras surgían nuevas señales de reanudación de contactos con mediación pakistaní.</w:t>
      </w:r>
    </w:p>
    <w:p w14:paraId="7F245B29" w14:textId="77777777" w:rsidR="00BB69C2" w:rsidRPr="00BC3B7E" w:rsidRDefault="00BB69C2" w:rsidP="00BB69C2">
      <w:pPr>
        <w:shd w:val="clear" w:color="auto" w:fill="FFFFFF"/>
        <w:ind w:left="425"/>
        <w:jc w:val="both"/>
        <w:rPr>
          <w:rFonts w:ascii="Poppins" w:hAnsi="Poppins" w:cs="Poppins"/>
          <w:sz w:val="18"/>
          <w:szCs w:val="18"/>
        </w:rPr>
      </w:pPr>
    </w:p>
    <w:p w14:paraId="30CA3F43" w14:textId="77777777" w:rsidR="00BB69C2" w:rsidRPr="00BC3B7E" w:rsidRDefault="00BB69C2" w:rsidP="00BB69C2">
      <w:pPr>
        <w:shd w:val="clear" w:color="auto" w:fill="FFFFFF"/>
        <w:ind w:left="425"/>
        <w:jc w:val="both"/>
        <w:rPr>
          <w:rFonts w:ascii="Poppins" w:hAnsi="Poppins" w:cs="Poppins"/>
          <w:sz w:val="18"/>
          <w:szCs w:val="18"/>
        </w:rPr>
      </w:pPr>
      <w:r w:rsidRPr="00BC3B7E">
        <w:rPr>
          <w:rFonts w:ascii="Poppins" w:hAnsi="Poppins" w:cs="Poppins"/>
          <w:sz w:val="18"/>
          <w:szCs w:val="18"/>
        </w:rPr>
        <w:lastRenderedPageBreak/>
        <w:t>El 17 de abril, Irán anunció la reapertura temporal del Estrecho de Ormuz, lo que reavivó expectativas de negociación y generó una nueva corrección bajista del petróleo. Sin embargo, Teherán advirtió que podía volver a cerrar el paso si continuaba el bloqueo o interceptación naval estadounidense contra buques vinculados a puertos iraníes. Entre el 20 y 26 de abril, la tregua volvió a evidenciar su fragilidad: el proceso quedó trabado por la falta de un acuerdo operativo sobre Ormuz, el 24 de abril Trump señaló que Irán preparaba una oferta para atender demandas estadounidenses y el 25 de abril canceló el viaje de sus enviados a Pakistán. En paralelo, Ormuz siguió restringido y la amenaza iraní de extender la presión hacia Bab el-</w:t>
      </w:r>
      <w:proofErr w:type="spellStart"/>
      <w:r w:rsidRPr="00BC3B7E">
        <w:rPr>
          <w:rFonts w:ascii="Poppins" w:hAnsi="Poppins" w:cs="Poppins"/>
          <w:sz w:val="18"/>
          <w:szCs w:val="18"/>
        </w:rPr>
        <w:t>Mandeb</w:t>
      </w:r>
      <w:proofErr w:type="spellEnd"/>
      <w:r w:rsidRPr="00BC3B7E">
        <w:rPr>
          <w:rFonts w:ascii="Poppins" w:hAnsi="Poppins" w:cs="Poppins"/>
          <w:sz w:val="18"/>
          <w:szCs w:val="18"/>
        </w:rPr>
        <w:t xml:space="preserve"> elevó el riesgo de una disrupción marítima más amplia.</w:t>
      </w:r>
    </w:p>
    <w:p w14:paraId="59E9C17C" w14:textId="77777777" w:rsidR="00BB69C2" w:rsidRPr="00BC3B7E" w:rsidRDefault="00BB69C2" w:rsidP="00BB69C2">
      <w:pPr>
        <w:shd w:val="clear" w:color="auto" w:fill="FFFFFF"/>
        <w:ind w:left="425"/>
        <w:jc w:val="both"/>
        <w:rPr>
          <w:rFonts w:ascii="Poppins" w:hAnsi="Poppins" w:cs="Poppins"/>
          <w:sz w:val="18"/>
          <w:szCs w:val="18"/>
        </w:rPr>
      </w:pPr>
    </w:p>
    <w:p w14:paraId="77B08B35" w14:textId="77777777" w:rsidR="00BB69C2" w:rsidRPr="00BC3B7E" w:rsidRDefault="00BB69C2" w:rsidP="00BB69C2">
      <w:pPr>
        <w:shd w:val="clear" w:color="auto" w:fill="FFFFFF"/>
        <w:ind w:left="425"/>
        <w:jc w:val="both"/>
        <w:rPr>
          <w:rFonts w:ascii="Poppins" w:hAnsi="Poppins" w:cs="Poppins"/>
          <w:sz w:val="18"/>
          <w:szCs w:val="18"/>
        </w:rPr>
      </w:pPr>
      <w:r w:rsidRPr="00BC3B7E">
        <w:rPr>
          <w:rFonts w:ascii="Poppins" w:hAnsi="Poppins" w:cs="Poppins"/>
          <w:sz w:val="18"/>
          <w:szCs w:val="18"/>
        </w:rPr>
        <w:t>Entre el 27 de abril y el 1 de mayo de 2026, el conflicto se caracterizó por una combinación de presión militar, sanciones y esfuerzos diplomáticos indirectos. El foco principal siguió siendo Ormuz, donde EE. UU. reforzó su presencia naval e intensificó las interceptaciones de cargamentos iraníes, mientras Irán respondió restringiendo parcialmente el tránsito y denunciando acciones de “piratería” por parte de Washington. La reducción del tráfico de buques y el riesgo de un cierre total elevaron las primas de riesgo, los costos de transporte marítimo y la preocupación sobre nuevas interrupciones de suministro. En paralelo, las exportaciones petroleras iraníes se redujeron por sanciones y restricciones logísticas, obligando a Teherán a buscar rutas alternativas hacia China y a almacenar crudo en instalaciones improvisadas. En ese contexto, el Brent superó los USD 107 por barril ante el temor de una mayor escasez regional.</w:t>
      </w:r>
    </w:p>
    <w:p w14:paraId="4AD9764D" w14:textId="77777777" w:rsidR="00BB69C2" w:rsidRPr="00BC3B7E" w:rsidRDefault="00BB69C2" w:rsidP="00BB69C2">
      <w:pPr>
        <w:shd w:val="clear" w:color="auto" w:fill="FFFFFF"/>
        <w:ind w:left="425"/>
        <w:jc w:val="both"/>
        <w:rPr>
          <w:rFonts w:ascii="Poppins" w:hAnsi="Poppins" w:cs="Poppins"/>
          <w:sz w:val="18"/>
          <w:szCs w:val="18"/>
        </w:rPr>
      </w:pPr>
    </w:p>
    <w:p w14:paraId="139C402B" w14:textId="77777777" w:rsidR="00BB69C2" w:rsidRPr="00BC3B7E" w:rsidRDefault="00BB69C2" w:rsidP="00BB69C2">
      <w:pPr>
        <w:shd w:val="clear" w:color="auto" w:fill="FFFFFF"/>
        <w:ind w:left="425"/>
        <w:jc w:val="both"/>
        <w:rPr>
          <w:rFonts w:ascii="Poppins" w:hAnsi="Poppins" w:cs="Poppins"/>
          <w:sz w:val="18"/>
          <w:szCs w:val="18"/>
        </w:rPr>
      </w:pPr>
      <w:r w:rsidRPr="00BC3B7E">
        <w:rPr>
          <w:rFonts w:ascii="Poppins" w:hAnsi="Poppins" w:cs="Poppins"/>
          <w:sz w:val="18"/>
          <w:szCs w:val="18"/>
        </w:rPr>
        <w:t>Durante la semana del 4 al 8 de mayo de 2026, el conflicto estuvo marcado principalmente por tensiones diplomáticas vinculadas al programa nuclear iraní. Ambos países mantenían negociaciones indirectas, mediadas por Omán, con el objetivo de avanzar hacia un nuevo acuerdo nuclear; sin embargo, la cuarta ronda de conversaciones fue aplazada por razones logísticas, lo que generó incertidumbre sobre el avance del diálogo. Paralelamente, EE. UU. mantuvo la presión económica mediante sanciones dirigidas al sector petrolero y petroquímico iraní, buscando limitar las fuentes de ingresos de Teherán.</w:t>
      </w:r>
    </w:p>
    <w:p w14:paraId="6C565D14" w14:textId="77777777" w:rsidR="00BB69C2" w:rsidRPr="00BC3B7E" w:rsidRDefault="00BB69C2" w:rsidP="00BB69C2">
      <w:pPr>
        <w:shd w:val="clear" w:color="auto" w:fill="FFFFFF"/>
        <w:ind w:left="425"/>
        <w:jc w:val="both"/>
        <w:rPr>
          <w:rFonts w:ascii="Poppins" w:hAnsi="Poppins" w:cs="Poppins"/>
          <w:sz w:val="18"/>
          <w:szCs w:val="18"/>
        </w:rPr>
      </w:pPr>
    </w:p>
    <w:p w14:paraId="483DAF97" w14:textId="77777777" w:rsidR="00BB69C2" w:rsidRPr="00BC3B7E" w:rsidRDefault="00BB69C2" w:rsidP="00BB69C2">
      <w:pPr>
        <w:shd w:val="clear" w:color="auto" w:fill="FFFFFF"/>
        <w:ind w:left="425"/>
        <w:jc w:val="both"/>
        <w:rPr>
          <w:rFonts w:ascii="Poppins" w:hAnsi="Poppins" w:cs="Poppins"/>
          <w:sz w:val="18"/>
          <w:szCs w:val="18"/>
        </w:rPr>
      </w:pPr>
      <w:r w:rsidRPr="00BC3B7E">
        <w:rPr>
          <w:rFonts w:ascii="Poppins" w:hAnsi="Poppins" w:cs="Poppins"/>
          <w:sz w:val="18"/>
          <w:szCs w:val="18"/>
        </w:rPr>
        <w:t>Durante la semana del 11 al 17 de mayo de 2026, el conflicto entró en una fase de negociación más concreta, aunque todavía sin normalización efectiva del tránsito marítimo. El 11 de mayo, EE. UU. impuso nuevas sanciones contra personas y empresas vinculadas al envío de petróleo iraní hacia China, reforzando la presión económica sobre Teherán mientras se mantenían abiertos los contactos diplomáticos. Luego, Pakistán trasladó a EE. UU. una propuesta iraní revisada para terminar la guerra, centrada primero en detener el conflicto, reabrir Ormuz y levantar restricciones marítimas, aunque las conversaciones seguían estancadas.</w:t>
      </w:r>
    </w:p>
    <w:p w14:paraId="01862048" w14:textId="77777777" w:rsidR="00BB69C2" w:rsidRPr="00BC3B7E" w:rsidRDefault="00BB69C2" w:rsidP="00BB69C2">
      <w:pPr>
        <w:shd w:val="clear" w:color="auto" w:fill="FFFFFF"/>
        <w:ind w:left="425"/>
        <w:jc w:val="both"/>
        <w:rPr>
          <w:rFonts w:ascii="Poppins" w:hAnsi="Poppins" w:cs="Poppins"/>
          <w:sz w:val="18"/>
          <w:szCs w:val="18"/>
        </w:rPr>
      </w:pPr>
    </w:p>
    <w:p w14:paraId="11911744" w14:textId="77777777" w:rsidR="00BB69C2" w:rsidRPr="00BC3B7E" w:rsidRDefault="00BB69C2" w:rsidP="00BB69C2">
      <w:pPr>
        <w:shd w:val="clear" w:color="auto" w:fill="FFFFFF"/>
        <w:ind w:left="425"/>
        <w:jc w:val="both"/>
        <w:rPr>
          <w:rFonts w:ascii="Poppins" w:hAnsi="Poppins" w:cs="Poppins"/>
          <w:sz w:val="18"/>
          <w:szCs w:val="18"/>
        </w:rPr>
      </w:pPr>
      <w:r w:rsidRPr="00BC3B7E">
        <w:rPr>
          <w:rFonts w:ascii="Poppins" w:hAnsi="Poppins" w:cs="Poppins"/>
          <w:sz w:val="18"/>
          <w:szCs w:val="18"/>
        </w:rPr>
        <w:t>En ese contexto, la cumbre entre Xi Jinping y Donald Trump generó expectativas de alivio en el mercado energético, luego de que Trump afirmara que China apoyaba la reapertura del Estrecho de Ormuz y que no asistiría militarmente a Irán. Sin embargo, la reacción del mercado fue limitada, porque no se anunciaron compromisos verificables para normalizar los flujos energéticos, garantizar el tránsito de buques o destrabar la salida de cargamentos retenidos en el Golfo. Así, la reunión fue leída como una señal diplomática positiva, pero insuficiente para eliminar la prima geopolítica.</w:t>
      </w:r>
    </w:p>
    <w:p w14:paraId="06364C85" w14:textId="77777777" w:rsidR="00BB69C2" w:rsidRPr="00BC3B7E" w:rsidRDefault="00BB69C2" w:rsidP="00BB69C2">
      <w:pPr>
        <w:shd w:val="clear" w:color="auto" w:fill="FFFFFF"/>
        <w:ind w:left="425"/>
        <w:jc w:val="both"/>
        <w:rPr>
          <w:rFonts w:ascii="Poppins" w:hAnsi="Poppins" w:cs="Poppins"/>
          <w:sz w:val="18"/>
          <w:szCs w:val="18"/>
        </w:rPr>
      </w:pPr>
    </w:p>
    <w:p w14:paraId="6C224DDD" w14:textId="77777777" w:rsidR="00BB69C2" w:rsidRDefault="00BB69C2" w:rsidP="00BB69C2">
      <w:pPr>
        <w:shd w:val="clear" w:color="auto" w:fill="FFFFFF"/>
        <w:ind w:left="425"/>
        <w:jc w:val="both"/>
        <w:rPr>
          <w:rFonts w:ascii="Poppins" w:hAnsi="Poppins" w:cs="Poppins"/>
          <w:sz w:val="18"/>
          <w:szCs w:val="18"/>
        </w:rPr>
      </w:pPr>
      <w:r w:rsidRPr="00BC3B7E">
        <w:rPr>
          <w:rFonts w:ascii="Poppins" w:hAnsi="Poppins" w:cs="Poppins"/>
          <w:sz w:val="18"/>
          <w:szCs w:val="18"/>
        </w:rPr>
        <w:lastRenderedPageBreak/>
        <w:t xml:space="preserve">Entre el 18 y el 24 de mayo, el conflicto pasó de una negociación avanzada a una fase de alta volatilidad diplomática y petrolera. El 18 de mayo, </w:t>
      </w:r>
      <w:proofErr w:type="gramStart"/>
      <w:r w:rsidRPr="00BC3B7E">
        <w:rPr>
          <w:rFonts w:ascii="Poppins" w:hAnsi="Poppins" w:cs="Poppins"/>
          <w:sz w:val="18"/>
          <w:szCs w:val="18"/>
        </w:rPr>
        <w:t>EE.UU.</w:t>
      </w:r>
      <w:proofErr w:type="gramEnd"/>
      <w:r w:rsidRPr="00BC3B7E">
        <w:rPr>
          <w:rFonts w:ascii="Poppins" w:hAnsi="Poppins" w:cs="Poppins"/>
          <w:sz w:val="18"/>
          <w:szCs w:val="18"/>
        </w:rPr>
        <w:t xml:space="preserve"> renovó exenciones vinculadas al petróleo ruso para aliviar la presión de oferta, mientras Trump postergó un ataque contra Irán, moderando temporalmente los precios. El 20 de mayo, el mercado reaccionó con fuerza a señales de acuerdo. Dos tanqueros chinos salieron de Ormuz con cerca de 4 millones de barriles, y los precios de crudo Brent y el WTI cayeron más de 5% ante expectativas de reapertura. Sin embargo, entre el 21 y 22 de mayo, el optimismo se debilitó. Marco Rubio advirtió que un sistema iraní de peajes en Ormuz haría inviable cualquier acuerdo, aunque reconoció algunos avances. Además, Irán insistió en mantener su uranio enriquecido, limitando la posibilidad de un pacto rápido. Al 24 de mayo, Trump afirmó que no había prisa por cerrar el acuerdo y que el bloqueo estadounidense a buques iraníes en Ormuz seguiría vigente hasta que el pacto estuviera acordado, certificado y firmado. En consecuencia, el riesgo petrolero se moderó por las señales de diálogo, pero no desapareció. Ormuz comenzó a mostrar salidas selectivas de buques, aunque la reapertura plena siguió condicionada a un acuerdo político, marítimo y nuclear.</w:t>
      </w:r>
    </w:p>
    <w:p w14:paraId="7B11FAAD" w14:textId="77777777" w:rsidR="00BB69C2" w:rsidRDefault="00BB69C2" w:rsidP="00BB69C2">
      <w:pPr>
        <w:shd w:val="clear" w:color="auto" w:fill="FFFFFF"/>
        <w:ind w:left="425"/>
        <w:jc w:val="both"/>
        <w:rPr>
          <w:rFonts w:ascii="Poppins" w:hAnsi="Poppins" w:cs="Poppins"/>
          <w:sz w:val="18"/>
          <w:szCs w:val="18"/>
        </w:rPr>
      </w:pPr>
    </w:p>
    <w:p w14:paraId="7BCAA9EB" w14:textId="77777777" w:rsidR="00BB69C2" w:rsidRDefault="00BB69C2" w:rsidP="00BB69C2">
      <w:pPr>
        <w:shd w:val="clear" w:color="auto" w:fill="FFFFFF"/>
        <w:ind w:left="425"/>
        <w:jc w:val="both"/>
        <w:rPr>
          <w:rFonts w:ascii="Poppins" w:hAnsi="Poppins" w:cs="Poppins"/>
          <w:sz w:val="18"/>
          <w:szCs w:val="18"/>
        </w:rPr>
      </w:pPr>
      <w:r w:rsidRPr="007A56DE">
        <w:rPr>
          <w:rFonts w:ascii="Poppins" w:hAnsi="Poppins" w:cs="Poppins"/>
          <w:sz w:val="18"/>
          <w:szCs w:val="18"/>
        </w:rPr>
        <w:t xml:space="preserve">Entre el 25 y el 31 de mayo, la negociación alcanzó su punto más avanzado, pero también mostró sus límites. La agencia de noticias Reuters informó que </w:t>
      </w:r>
      <w:proofErr w:type="gramStart"/>
      <w:r w:rsidRPr="007A56DE">
        <w:rPr>
          <w:rFonts w:ascii="Poppins" w:hAnsi="Poppins" w:cs="Poppins"/>
          <w:sz w:val="18"/>
          <w:szCs w:val="18"/>
        </w:rPr>
        <w:t>EE.UU.</w:t>
      </w:r>
      <w:proofErr w:type="gramEnd"/>
      <w:r w:rsidRPr="007A56DE">
        <w:rPr>
          <w:rFonts w:ascii="Poppins" w:hAnsi="Poppins" w:cs="Poppins"/>
          <w:sz w:val="18"/>
          <w:szCs w:val="18"/>
        </w:rPr>
        <w:t xml:space="preserve"> e Irán alcanzaron un memorando preliminar para extender el alto el fuego por 60 días, permitir el tránsito por el estrecho de Ormuz mientras continuaban las conversaciones y mantener la negociación sobre los temas más difíciles, como el programa nuclear iraní; no obstante, el entendimiento aún requería aprobación final de Donald Trump. En paralelo, </w:t>
      </w:r>
      <w:proofErr w:type="gramStart"/>
      <w:r w:rsidRPr="007A56DE">
        <w:rPr>
          <w:rFonts w:ascii="Poppins" w:hAnsi="Poppins" w:cs="Poppins"/>
          <w:sz w:val="18"/>
          <w:szCs w:val="18"/>
        </w:rPr>
        <w:t>EE.UU.</w:t>
      </w:r>
      <w:proofErr w:type="gramEnd"/>
      <w:r w:rsidRPr="007A56DE">
        <w:rPr>
          <w:rFonts w:ascii="Poppins" w:hAnsi="Poppins" w:cs="Poppins"/>
          <w:sz w:val="18"/>
          <w:szCs w:val="18"/>
        </w:rPr>
        <w:t xml:space="preserve"> mantuvo la presión militar y económica. El 26 de mayo, Irán acusó a </w:t>
      </w:r>
      <w:proofErr w:type="gramStart"/>
      <w:r w:rsidRPr="007A56DE">
        <w:rPr>
          <w:rFonts w:ascii="Poppins" w:hAnsi="Poppins" w:cs="Poppins"/>
          <w:sz w:val="18"/>
          <w:szCs w:val="18"/>
        </w:rPr>
        <w:t>EE.UU.</w:t>
      </w:r>
      <w:proofErr w:type="gramEnd"/>
      <w:r w:rsidRPr="007A56DE">
        <w:rPr>
          <w:rFonts w:ascii="Poppins" w:hAnsi="Poppins" w:cs="Poppins"/>
          <w:sz w:val="18"/>
          <w:szCs w:val="18"/>
        </w:rPr>
        <w:t xml:space="preserve"> de violar la tregua tras ataques contra botes y emplazamientos de misiles cerca de Ormuz; y el 28 de mayo, el </w:t>
      </w:r>
      <w:r>
        <w:rPr>
          <w:rFonts w:ascii="Poppins" w:hAnsi="Poppins" w:cs="Poppins"/>
          <w:sz w:val="18"/>
          <w:szCs w:val="18"/>
        </w:rPr>
        <w:t xml:space="preserve">Departamento del </w:t>
      </w:r>
      <w:r w:rsidRPr="007A56DE">
        <w:rPr>
          <w:rFonts w:ascii="Poppins" w:hAnsi="Poppins" w:cs="Poppins"/>
          <w:sz w:val="18"/>
          <w:szCs w:val="18"/>
        </w:rPr>
        <w:t>Tesoro estadounidense sancionó 8 buques vinculados al transporte de crudo y productos iraníes. La reacción del mercado fue bajista por la expectativa de acuerdo. El Brent cayó cerca de 11% semanal y el WTI alrededor de 9%, aunque el alivio fue parcial porque Ormuz seguía operando con restricciones, la cuestión nuclear no estaba resuelta y persistían dudas sobre el retiro de minas, las garantías de navegación y el levantamiento efectivo del bloqueo naval.</w:t>
      </w:r>
    </w:p>
    <w:p w14:paraId="28E58BF1" w14:textId="77777777" w:rsidR="00BB69C2" w:rsidRDefault="00BB69C2" w:rsidP="00BB69C2">
      <w:pPr>
        <w:shd w:val="clear" w:color="auto" w:fill="FFFFFF"/>
        <w:ind w:left="425"/>
        <w:jc w:val="both"/>
        <w:rPr>
          <w:rFonts w:ascii="Poppins" w:hAnsi="Poppins" w:cs="Poppins"/>
          <w:sz w:val="18"/>
          <w:szCs w:val="18"/>
        </w:rPr>
      </w:pPr>
    </w:p>
    <w:p w14:paraId="093661DD" w14:textId="77777777" w:rsidR="00BB69C2" w:rsidRDefault="00BB69C2" w:rsidP="00BB69C2">
      <w:pPr>
        <w:shd w:val="clear" w:color="auto" w:fill="FFFFFF"/>
        <w:ind w:left="425"/>
        <w:jc w:val="both"/>
        <w:rPr>
          <w:rFonts w:ascii="Poppins" w:hAnsi="Poppins" w:cs="Poppins"/>
          <w:sz w:val="18"/>
          <w:szCs w:val="18"/>
        </w:rPr>
      </w:pPr>
      <w:r w:rsidRPr="008F7367">
        <w:rPr>
          <w:rFonts w:ascii="Poppins" w:hAnsi="Poppins" w:cs="Poppins"/>
          <w:sz w:val="18"/>
          <w:szCs w:val="18"/>
        </w:rPr>
        <w:t xml:space="preserve">Entre el 1 y el 7 de junio, la negociación entre </w:t>
      </w:r>
      <w:proofErr w:type="gramStart"/>
      <w:r w:rsidRPr="008F7367">
        <w:rPr>
          <w:rFonts w:ascii="Poppins" w:hAnsi="Poppins" w:cs="Poppins"/>
          <w:sz w:val="18"/>
          <w:szCs w:val="18"/>
        </w:rPr>
        <w:t>EE.UU.</w:t>
      </w:r>
      <w:proofErr w:type="gramEnd"/>
      <w:r w:rsidRPr="008F7367">
        <w:rPr>
          <w:rFonts w:ascii="Poppins" w:hAnsi="Poppins" w:cs="Poppins"/>
          <w:sz w:val="18"/>
          <w:szCs w:val="18"/>
        </w:rPr>
        <w:t xml:space="preserve"> e Irán volvió a mostrar avances parciales, aunque sin traducirse en una normalización efectiva del tránsito por Ormuz. Trump afirmó que un acuerdo para extender el alto el fuego y reabrir el estrecho podía alcanzarse en ese periodo, mientras Irán señaló que seguía revisando la propuesta, pero sin aceptar aún condiciones clave como la reapertura irrestricta, el desmantelamiento de capacidades nucleares o la eliminación de peajes. En paralelo, el frente regional volvió a complicarse, pues el alto el fuego entre Israel y Líbano fue presentado como una señal positiva para un acuerdo más amplio, aunque </w:t>
      </w:r>
      <w:proofErr w:type="spellStart"/>
      <w:r w:rsidRPr="008F7367">
        <w:rPr>
          <w:rFonts w:ascii="Poppins" w:hAnsi="Poppins" w:cs="Poppins"/>
          <w:sz w:val="18"/>
          <w:szCs w:val="18"/>
        </w:rPr>
        <w:t>Hezbolá</w:t>
      </w:r>
      <w:proofErr w:type="spellEnd"/>
      <w:r w:rsidRPr="008F7367">
        <w:rPr>
          <w:rFonts w:ascii="Poppins" w:hAnsi="Poppins" w:cs="Poppins"/>
          <w:sz w:val="18"/>
          <w:szCs w:val="18"/>
        </w:rPr>
        <w:t xml:space="preserve"> cuestionó sus términos e Irán reafirmó su respaldo al grupo. La tensión volvió a escalar el 6 de junio, cuando </w:t>
      </w:r>
      <w:proofErr w:type="gramStart"/>
      <w:r w:rsidRPr="008F7367">
        <w:rPr>
          <w:rFonts w:ascii="Poppins" w:hAnsi="Poppins" w:cs="Poppins"/>
          <w:sz w:val="18"/>
          <w:szCs w:val="18"/>
        </w:rPr>
        <w:t>EE.UU.</w:t>
      </w:r>
      <w:proofErr w:type="gramEnd"/>
      <w:r w:rsidRPr="008F7367">
        <w:rPr>
          <w:rFonts w:ascii="Poppins" w:hAnsi="Poppins" w:cs="Poppins"/>
          <w:sz w:val="18"/>
          <w:szCs w:val="18"/>
        </w:rPr>
        <w:t xml:space="preserve"> atacó radares costeros iraníes tras interceptar drones lanzados hacia Ormuz, confirmando que la tregua seguía siendo frágil y que la navegación energética </w:t>
      </w:r>
      <w:r>
        <w:rPr>
          <w:rFonts w:ascii="Poppins" w:hAnsi="Poppins" w:cs="Poppins"/>
          <w:sz w:val="18"/>
          <w:szCs w:val="18"/>
        </w:rPr>
        <w:t xml:space="preserve">por el estrecho </w:t>
      </w:r>
      <w:r w:rsidRPr="008F7367">
        <w:rPr>
          <w:rFonts w:ascii="Poppins" w:hAnsi="Poppins" w:cs="Poppins"/>
          <w:sz w:val="18"/>
          <w:szCs w:val="18"/>
        </w:rPr>
        <w:t>continuaba condicionada por riesgos militares y políticos</w:t>
      </w:r>
      <w:r>
        <w:rPr>
          <w:rFonts w:ascii="Poppins" w:hAnsi="Poppins" w:cs="Poppins"/>
          <w:sz w:val="18"/>
          <w:szCs w:val="18"/>
        </w:rPr>
        <w:t>.</w:t>
      </w:r>
    </w:p>
    <w:p w14:paraId="06550F70" w14:textId="77777777" w:rsidR="00BB69C2" w:rsidRDefault="00BB69C2" w:rsidP="00BB69C2">
      <w:pPr>
        <w:shd w:val="clear" w:color="auto" w:fill="FFFFFF"/>
        <w:ind w:left="425"/>
        <w:jc w:val="both"/>
        <w:rPr>
          <w:rFonts w:ascii="Poppins" w:hAnsi="Poppins" w:cs="Poppins"/>
          <w:sz w:val="18"/>
          <w:szCs w:val="18"/>
        </w:rPr>
      </w:pPr>
    </w:p>
    <w:p w14:paraId="083DFF5A" w14:textId="77777777" w:rsidR="00BB69C2" w:rsidRDefault="00BB69C2" w:rsidP="00BB69C2">
      <w:pPr>
        <w:shd w:val="clear" w:color="auto" w:fill="FFFFFF"/>
        <w:ind w:left="425"/>
        <w:jc w:val="both"/>
        <w:rPr>
          <w:rFonts w:ascii="Poppins" w:hAnsi="Poppins" w:cs="Poppins"/>
          <w:sz w:val="18"/>
          <w:szCs w:val="18"/>
        </w:rPr>
      </w:pPr>
      <w:r w:rsidRPr="00535935">
        <w:rPr>
          <w:rFonts w:ascii="Poppins" w:hAnsi="Poppins" w:cs="Poppins"/>
          <w:sz w:val="18"/>
          <w:szCs w:val="18"/>
        </w:rPr>
        <w:t xml:space="preserve">Entre el 8 y el 14 de junio, la negociación </w:t>
      </w:r>
      <w:proofErr w:type="gramStart"/>
      <w:r w:rsidRPr="00535935">
        <w:rPr>
          <w:rFonts w:ascii="Poppins" w:hAnsi="Poppins" w:cs="Poppins"/>
          <w:sz w:val="18"/>
          <w:szCs w:val="18"/>
        </w:rPr>
        <w:t>EE.UU.</w:t>
      </w:r>
      <w:proofErr w:type="gramEnd"/>
      <w:r w:rsidRPr="00535935">
        <w:rPr>
          <w:rFonts w:ascii="Poppins" w:hAnsi="Poppins" w:cs="Poppins"/>
          <w:sz w:val="18"/>
          <w:szCs w:val="18"/>
        </w:rPr>
        <w:t>–Irán avanzó hacia un acuerdo marco</w:t>
      </w:r>
      <w:r>
        <w:rPr>
          <w:rFonts w:ascii="Poppins" w:hAnsi="Poppins" w:cs="Poppins"/>
          <w:sz w:val="18"/>
          <w:szCs w:val="18"/>
        </w:rPr>
        <w:t xml:space="preserve">, </w:t>
      </w:r>
      <w:r w:rsidRPr="00535935">
        <w:rPr>
          <w:rFonts w:ascii="Poppins" w:hAnsi="Poppins" w:cs="Poppins"/>
          <w:sz w:val="18"/>
          <w:szCs w:val="18"/>
        </w:rPr>
        <w:t xml:space="preserve">aunque sin una normalización plena del Estrecho de Ormuz. Trump canceló ataques previstos contra Irán y afirmó que el acuerdo podía firmarse en los próximos días, mientras </w:t>
      </w:r>
      <w:r>
        <w:rPr>
          <w:rFonts w:ascii="Poppins" w:hAnsi="Poppins" w:cs="Poppins"/>
          <w:sz w:val="18"/>
          <w:szCs w:val="18"/>
        </w:rPr>
        <w:t>este último país</w:t>
      </w:r>
      <w:r w:rsidRPr="00535935">
        <w:rPr>
          <w:rFonts w:ascii="Poppins" w:hAnsi="Poppins" w:cs="Poppins"/>
          <w:sz w:val="18"/>
          <w:szCs w:val="18"/>
        </w:rPr>
        <w:t xml:space="preserve"> evitó confirmar avances definitivos. El borrador contemplaría una tregua de 60 días, </w:t>
      </w:r>
      <w:r w:rsidRPr="00535935">
        <w:rPr>
          <w:rFonts w:ascii="Poppins" w:hAnsi="Poppins" w:cs="Poppins"/>
          <w:sz w:val="18"/>
          <w:szCs w:val="18"/>
        </w:rPr>
        <w:lastRenderedPageBreak/>
        <w:t>reapertura de Ormuz, levantamiento del bloqueo naval estadounidense, alivio temporal de sanciones petroleras y liberación de hasta US$ 25 mil millones en activos iraníes. La firma formal se esperaba para el 19 de junio en Ginebra; sin embargo, seguían pendientes detalles sobre sanciones, verificación nuclear, garantías de seguridad marítima y alcance regional del pacto. Sobre los peajes, no quedó establecido un cobro general por cruzar Ormuz, aunque Irán planteó cargos asociados a servicios de navegación, seguridad o protección ambiental</w:t>
      </w:r>
      <w:r>
        <w:rPr>
          <w:rFonts w:ascii="Poppins" w:hAnsi="Poppins" w:cs="Poppins"/>
          <w:sz w:val="18"/>
          <w:szCs w:val="18"/>
        </w:rPr>
        <w:t>.</w:t>
      </w:r>
    </w:p>
    <w:p w14:paraId="4D79D3FF" w14:textId="77777777" w:rsidR="00BB69C2" w:rsidRDefault="00BB69C2" w:rsidP="00BB69C2">
      <w:pPr>
        <w:shd w:val="clear" w:color="auto" w:fill="FFFFFF"/>
        <w:ind w:left="425"/>
        <w:jc w:val="both"/>
        <w:rPr>
          <w:rFonts w:ascii="Poppins" w:hAnsi="Poppins" w:cs="Poppins"/>
          <w:sz w:val="18"/>
          <w:szCs w:val="18"/>
        </w:rPr>
      </w:pPr>
    </w:p>
    <w:p w14:paraId="55C6AF3C" w14:textId="77777777" w:rsidR="00BB69C2" w:rsidRDefault="00BB69C2" w:rsidP="00BB69C2">
      <w:pPr>
        <w:shd w:val="clear" w:color="auto" w:fill="FFFFFF"/>
        <w:ind w:left="425"/>
        <w:jc w:val="both"/>
        <w:rPr>
          <w:rFonts w:ascii="Poppins" w:hAnsi="Poppins" w:cs="Poppins"/>
          <w:sz w:val="18"/>
          <w:szCs w:val="18"/>
        </w:rPr>
      </w:pPr>
      <w:r w:rsidRPr="00A0307C">
        <w:rPr>
          <w:rFonts w:ascii="Poppins" w:hAnsi="Poppins" w:cs="Poppins"/>
          <w:sz w:val="18"/>
          <w:szCs w:val="18"/>
        </w:rPr>
        <w:t>En consecuencia, la expectativa de un acuerdo marco redujo la presión geopolítica sobre el crudo y reforzó el sesgo bajista de los precios; sin embargo, el riesgo petrolero no desapareció. La reapertura efectiva de Ormuz seguía condicionada a una firma formal, reglas claras de tránsito, ausencia de peajes generales, garantías operativas para navieras y avances verificables en materia nuclear y de sanciones. Por ello, aunque el escenario de disrupción extrema perdió fuerza, los fletes, seguros y costos logísticos continuar</w:t>
      </w:r>
      <w:r>
        <w:rPr>
          <w:rFonts w:ascii="Poppins" w:hAnsi="Poppins" w:cs="Poppins"/>
          <w:sz w:val="18"/>
          <w:szCs w:val="18"/>
        </w:rPr>
        <w:t>án</w:t>
      </w:r>
      <w:r w:rsidRPr="00A0307C">
        <w:rPr>
          <w:rFonts w:ascii="Poppins" w:hAnsi="Poppins" w:cs="Poppins"/>
          <w:sz w:val="18"/>
          <w:szCs w:val="18"/>
        </w:rPr>
        <w:t xml:space="preserve"> reflejando riesgos</w:t>
      </w:r>
      <w:r>
        <w:rPr>
          <w:rFonts w:ascii="Poppins" w:hAnsi="Poppins" w:cs="Poppins"/>
          <w:sz w:val="18"/>
          <w:szCs w:val="18"/>
        </w:rPr>
        <w:t xml:space="preserve"> </w:t>
      </w:r>
      <w:r w:rsidRPr="00A0307C">
        <w:rPr>
          <w:rFonts w:ascii="Poppins" w:hAnsi="Poppins" w:cs="Poppins"/>
          <w:sz w:val="18"/>
          <w:szCs w:val="18"/>
        </w:rPr>
        <w:t>mientras no se confirme una normalización física y sostenida del estrecho</w:t>
      </w:r>
      <w:r>
        <w:rPr>
          <w:rFonts w:ascii="Poppins" w:hAnsi="Poppins" w:cs="Poppins"/>
          <w:sz w:val="18"/>
          <w:szCs w:val="18"/>
        </w:rPr>
        <w:t>.</w:t>
      </w:r>
    </w:p>
    <w:p w14:paraId="423D6338" w14:textId="77777777" w:rsidR="00BB69C2" w:rsidRDefault="00BB69C2" w:rsidP="00BB69C2">
      <w:pPr>
        <w:shd w:val="clear" w:color="auto" w:fill="FFFFFF"/>
        <w:ind w:left="425"/>
        <w:jc w:val="both"/>
        <w:rPr>
          <w:rFonts w:ascii="Poppins" w:hAnsi="Poppins" w:cs="Poppins"/>
          <w:sz w:val="18"/>
          <w:szCs w:val="18"/>
        </w:rPr>
      </w:pPr>
    </w:p>
    <w:p w14:paraId="48142DB1" w14:textId="77777777" w:rsidR="00BB69C2" w:rsidRPr="00ED0FCC" w:rsidRDefault="00BB69C2" w:rsidP="00BB69C2">
      <w:pPr>
        <w:pStyle w:val="Prrafodelista"/>
        <w:numPr>
          <w:ilvl w:val="0"/>
          <w:numId w:val="30"/>
        </w:numPr>
        <w:ind w:left="425"/>
        <w:contextualSpacing/>
        <w:jc w:val="both"/>
        <w:rPr>
          <w:rFonts w:ascii="Poppins" w:hAnsi="Poppins" w:cs="Poppins"/>
          <w:b/>
          <w:sz w:val="18"/>
          <w:szCs w:val="18"/>
        </w:rPr>
      </w:pPr>
      <w:r w:rsidRPr="00ED0FCC">
        <w:rPr>
          <w:rFonts w:ascii="Poppins" w:hAnsi="Poppins" w:cs="Poppins"/>
          <w:b/>
          <w:sz w:val="18"/>
          <w:szCs w:val="18"/>
        </w:rPr>
        <w:t>Escalada Israel–</w:t>
      </w:r>
      <w:proofErr w:type="spellStart"/>
      <w:r w:rsidRPr="00ED0FCC">
        <w:rPr>
          <w:rFonts w:ascii="Poppins" w:hAnsi="Poppins" w:cs="Poppins"/>
          <w:b/>
          <w:sz w:val="18"/>
          <w:szCs w:val="18"/>
        </w:rPr>
        <w:t>Hezbolá</w:t>
      </w:r>
      <w:proofErr w:type="spellEnd"/>
      <w:r w:rsidRPr="00ED0FCC">
        <w:rPr>
          <w:rFonts w:ascii="Poppins" w:hAnsi="Poppins" w:cs="Poppins"/>
          <w:b/>
          <w:sz w:val="18"/>
          <w:szCs w:val="18"/>
        </w:rPr>
        <w:t xml:space="preserve"> y diferencias </w:t>
      </w:r>
      <w:r>
        <w:rPr>
          <w:rFonts w:ascii="Poppins" w:hAnsi="Poppins" w:cs="Poppins"/>
          <w:b/>
          <w:sz w:val="18"/>
          <w:szCs w:val="18"/>
        </w:rPr>
        <w:t xml:space="preserve">entre </w:t>
      </w:r>
      <w:r w:rsidRPr="00ED0FCC">
        <w:rPr>
          <w:rFonts w:ascii="Poppins" w:hAnsi="Poppins" w:cs="Poppins"/>
          <w:b/>
          <w:sz w:val="18"/>
          <w:szCs w:val="18"/>
        </w:rPr>
        <w:t>Trump</w:t>
      </w:r>
      <w:r>
        <w:rPr>
          <w:rFonts w:ascii="Poppins" w:hAnsi="Poppins" w:cs="Poppins"/>
          <w:b/>
          <w:sz w:val="18"/>
          <w:szCs w:val="18"/>
        </w:rPr>
        <w:t xml:space="preserve"> y </w:t>
      </w:r>
      <w:r w:rsidRPr="00ED0FCC">
        <w:rPr>
          <w:rFonts w:ascii="Poppins" w:hAnsi="Poppins" w:cs="Poppins"/>
          <w:b/>
          <w:sz w:val="18"/>
          <w:szCs w:val="18"/>
        </w:rPr>
        <w:t xml:space="preserve">Netanyahu </w:t>
      </w:r>
      <w:r>
        <w:rPr>
          <w:rFonts w:ascii="Poppins" w:hAnsi="Poppins" w:cs="Poppins"/>
          <w:b/>
          <w:sz w:val="18"/>
          <w:szCs w:val="18"/>
        </w:rPr>
        <w:t>limitarían la implementación del posible</w:t>
      </w:r>
      <w:r w:rsidRPr="00ED0FCC">
        <w:rPr>
          <w:rFonts w:ascii="Poppins" w:hAnsi="Poppins" w:cs="Poppins"/>
          <w:b/>
          <w:sz w:val="18"/>
          <w:szCs w:val="18"/>
        </w:rPr>
        <w:t xml:space="preserve"> acuerdo </w:t>
      </w:r>
      <w:proofErr w:type="gramStart"/>
      <w:r w:rsidRPr="00ED0FCC">
        <w:rPr>
          <w:rFonts w:ascii="Poppins" w:hAnsi="Poppins" w:cs="Poppins"/>
          <w:b/>
          <w:sz w:val="18"/>
          <w:szCs w:val="18"/>
        </w:rPr>
        <w:t>EE.UU.</w:t>
      </w:r>
      <w:proofErr w:type="gramEnd"/>
      <w:r w:rsidRPr="00ED0FCC">
        <w:rPr>
          <w:rFonts w:ascii="Poppins" w:hAnsi="Poppins" w:cs="Poppins"/>
          <w:b/>
          <w:sz w:val="18"/>
          <w:szCs w:val="18"/>
        </w:rPr>
        <w:t>–Irán</w:t>
      </w:r>
    </w:p>
    <w:p w14:paraId="4929AAAE" w14:textId="77777777" w:rsidR="00BB69C2" w:rsidRDefault="00BB69C2" w:rsidP="00BB69C2">
      <w:pPr>
        <w:shd w:val="clear" w:color="auto" w:fill="FFFFFF"/>
        <w:ind w:left="425"/>
        <w:jc w:val="both"/>
        <w:rPr>
          <w:rFonts w:ascii="Poppins" w:hAnsi="Poppins" w:cs="Poppins"/>
          <w:sz w:val="18"/>
          <w:szCs w:val="18"/>
        </w:rPr>
      </w:pPr>
    </w:p>
    <w:p w14:paraId="5E85A4B5" w14:textId="77777777" w:rsidR="00BB69C2" w:rsidRPr="00EE4F6F" w:rsidRDefault="00BB69C2" w:rsidP="00BB69C2">
      <w:pPr>
        <w:shd w:val="clear" w:color="auto" w:fill="FFFFFF"/>
        <w:ind w:left="425"/>
        <w:jc w:val="both"/>
        <w:rPr>
          <w:rFonts w:ascii="Poppins" w:hAnsi="Poppins" w:cs="Poppins"/>
          <w:sz w:val="18"/>
          <w:szCs w:val="18"/>
        </w:rPr>
      </w:pPr>
      <w:r w:rsidRPr="00EE4F6F">
        <w:rPr>
          <w:rFonts w:ascii="Poppins" w:hAnsi="Poppins" w:cs="Poppins"/>
          <w:sz w:val="18"/>
          <w:szCs w:val="18"/>
        </w:rPr>
        <w:t xml:space="preserve">El frente </w:t>
      </w:r>
      <w:r>
        <w:rPr>
          <w:rFonts w:ascii="Poppins" w:hAnsi="Poppins" w:cs="Poppins"/>
          <w:sz w:val="18"/>
          <w:szCs w:val="18"/>
        </w:rPr>
        <w:t xml:space="preserve">de conflicto entre </w:t>
      </w:r>
      <w:r w:rsidRPr="00EE4F6F">
        <w:rPr>
          <w:rFonts w:ascii="Poppins" w:hAnsi="Poppins" w:cs="Poppins"/>
          <w:sz w:val="18"/>
          <w:szCs w:val="18"/>
        </w:rPr>
        <w:t>Israel–</w:t>
      </w:r>
      <w:proofErr w:type="spellStart"/>
      <w:r w:rsidRPr="00EE4F6F">
        <w:rPr>
          <w:rFonts w:ascii="Poppins" w:hAnsi="Poppins" w:cs="Poppins"/>
          <w:sz w:val="18"/>
          <w:szCs w:val="18"/>
        </w:rPr>
        <w:t>Hezbolá</w:t>
      </w:r>
      <w:proofErr w:type="spellEnd"/>
      <w:r w:rsidRPr="00EE4F6F">
        <w:rPr>
          <w:rFonts w:ascii="Poppins" w:hAnsi="Poppins" w:cs="Poppins"/>
          <w:sz w:val="18"/>
          <w:szCs w:val="18"/>
        </w:rPr>
        <w:t xml:space="preserve"> volvió a presionar la negociación </w:t>
      </w:r>
      <w:proofErr w:type="gramStart"/>
      <w:r w:rsidRPr="00EE4F6F">
        <w:rPr>
          <w:rFonts w:ascii="Poppins" w:hAnsi="Poppins" w:cs="Poppins"/>
          <w:sz w:val="18"/>
          <w:szCs w:val="18"/>
        </w:rPr>
        <w:t>EE.UU.</w:t>
      </w:r>
      <w:proofErr w:type="gramEnd"/>
      <w:r w:rsidRPr="00EE4F6F">
        <w:rPr>
          <w:rFonts w:ascii="Poppins" w:hAnsi="Poppins" w:cs="Poppins"/>
          <w:sz w:val="18"/>
          <w:szCs w:val="18"/>
        </w:rPr>
        <w:t xml:space="preserve">–Irán al exponer diferencias entre </w:t>
      </w:r>
      <w:proofErr w:type="gramStart"/>
      <w:r>
        <w:rPr>
          <w:rFonts w:ascii="Poppins" w:hAnsi="Poppins" w:cs="Poppins"/>
          <w:sz w:val="18"/>
          <w:szCs w:val="18"/>
        </w:rPr>
        <w:t>EE.UU.</w:t>
      </w:r>
      <w:proofErr w:type="gramEnd"/>
      <w:r>
        <w:rPr>
          <w:rFonts w:ascii="Poppins" w:hAnsi="Poppins" w:cs="Poppins"/>
          <w:sz w:val="18"/>
          <w:szCs w:val="18"/>
        </w:rPr>
        <w:t xml:space="preserve"> e Israel, </w:t>
      </w:r>
      <w:r w:rsidRPr="00EE4F6F">
        <w:rPr>
          <w:rFonts w:ascii="Poppins" w:hAnsi="Poppins" w:cs="Poppins"/>
          <w:sz w:val="18"/>
          <w:szCs w:val="18"/>
        </w:rPr>
        <w:t xml:space="preserve">sobre el alcance de la desescalada regional. Mientras Trump buscó contener las operaciones israelíes en el sur del Líbano para facilitar el acuerdo con Irán, Netanyahu defendió la libertad de acción de Israel frente a </w:t>
      </w:r>
      <w:proofErr w:type="spellStart"/>
      <w:r w:rsidRPr="00EE4F6F">
        <w:rPr>
          <w:rFonts w:ascii="Poppins" w:hAnsi="Poppins" w:cs="Poppins"/>
          <w:sz w:val="18"/>
          <w:szCs w:val="18"/>
        </w:rPr>
        <w:t>Hezbolá</w:t>
      </w:r>
      <w:proofErr w:type="spellEnd"/>
      <w:r w:rsidRPr="00EE4F6F">
        <w:rPr>
          <w:rFonts w:ascii="Poppins" w:hAnsi="Poppins" w:cs="Poppins"/>
          <w:sz w:val="18"/>
          <w:szCs w:val="18"/>
        </w:rPr>
        <w:t xml:space="preserve">. El riesgo siguió siendo relevante, dado que las autoridades libanesas denunciaron cerca de 3 500 ataques israelíes entre el 17 de abril y el 7 de junio, además de 407 demoliciones controladas y seis operaciones de arrasamiento en el sur del país. La tensión volvió a escalar el 14 de junio, cuando Israel atacó objetivos de </w:t>
      </w:r>
      <w:proofErr w:type="spellStart"/>
      <w:r w:rsidRPr="00EE4F6F">
        <w:rPr>
          <w:rFonts w:ascii="Poppins" w:hAnsi="Poppins" w:cs="Poppins"/>
          <w:sz w:val="18"/>
          <w:szCs w:val="18"/>
        </w:rPr>
        <w:t>Hezbolá</w:t>
      </w:r>
      <w:proofErr w:type="spellEnd"/>
      <w:r w:rsidRPr="00EE4F6F">
        <w:rPr>
          <w:rFonts w:ascii="Poppins" w:hAnsi="Poppins" w:cs="Poppins"/>
          <w:sz w:val="18"/>
          <w:szCs w:val="18"/>
        </w:rPr>
        <w:t xml:space="preserve"> en los suburbios del sur de Beirut, acción cuestionada por Trump al considerar que podía afectar un acuerdo cercano con Irán. En ese contexto, </w:t>
      </w:r>
      <w:proofErr w:type="spellStart"/>
      <w:r w:rsidRPr="00EE4F6F">
        <w:rPr>
          <w:rFonts w:ascii="Poppins" w:hAnsi="Poppins" w:cs="Poppins"/>
          <w:sz w:val="18"/>
          <w:szCs w:val="18"/>
        </w:rPr>
        <w:t>Hezbolá</w:t>
      </w:r>
      <w:proofErr w:type="spellEnd"/>
      <w:r w:rsidRPr="00EE4F6F">
        <w:rPr>
          <w:rFonts w:ascii="Poppins" w:hAnsi="Poppins" w:cs="Poppins"/>
          <w:sz w:val="18"/>
          <w:szCs w:val="18"/>
        </w:rPr>
        <w:t xml:space="preserve"> sostuvo que el frente libanés debía formar parte de cualquier entendimiento regional, elevando el riesgo de que esta situación demore o condicione la implementación del acuerdo, la reapertura efectiva de Ormuz y las garantías de seguridad.</w:t>
      </w:r>
    </w:p>
    <w:p w14:paraId="480CA93E" w14:textId="77777777" w:rsidR="00BB69C2" w:rsidRPr="00EE4F6F" w:rsidRDefault="00BB69C2" w:rsidP="00BB69C2">
      <w:pPr>
        <w:shd w:val="clear" w:color="auto" w:fill="FFFFFF"/>
        <w:ind w:left="425"/>
        <w:jc w:val="both"/>
        <w:rPr>
          <w:rFonts w:ascii="Poppins" w:hAnsi="Poppins" w:cs="Poppins"/>
          <w:sz w:val="18"/>
          <w:szCs w:val="18"/>
        </w:rPr>
      </w:pPr>
    </w:p>
    <w:p w14:paraId="28C5822C" w14:textId="77777777" w:rsidR="00BB69C2" w:rsidRDefault="00BB69C2" w:rsidP="00BB69C2">
      <w:pPr>
        <w:shd w:val="clear" w:color="auto" w:fill="FFFFFF"/>
        <w:ind w:left="425"/>
        <w:jc w:val="both"/>
        <w:rPr>
          <w:rFonts w:ascii="Poppins" w:hAnsi="Poppins" w:cs="Poppins"/>
          <w:sz w:val="18"/>
          <w:szCs w:val="18"/>
        </w:rPr>
      </w:pPr>
      <w:r w:rsidRPr="00EE4F6F">
        <w:rPr>
          <w:rFonts w:ascii="Poppins" w:hAnsi="Poppins" w:cs="Poppins"/>
          <w:sz w:val="18"/>
          <w:szCs w:val="18"/>
        </w:rPr>
        <w:t xml:space="preserve">La noticia impacta al mercado petrolero porque </w:t>
      </w:r>
      <w:proofErr w:type="spellStart"/>
      <w:r w:rsidRPr="00EE4F6F">
        <w:rPr>
          <w:rFonts w:ascii="Poppins" w:hAnsi="Poppins" w:cs="Poppins"/>
          <w:sz w:val="18"/>
          <w:szCs w:val="18"/>
        </w:rPr>
        <w:t>Hezbolá</w:t>
      </w:r>
      <w:proofErr w:type="spellEnd"/>
      <w:r w:rsidRPr="00EE4F6F">
        <w:rPr>
          <w:rFonts w:ascii="Poppins" w:hAnsi="Poppins" w:cs="Poppins"/>
          <w:sz w:val="18"/>
          <w:szCs w:val="18"/>
        </w:rPr>
        <w:t xml:space="preserve"> es un frente aliado de Irán y la situación en el sur del Líbano se mantiene como una condición política indirecta del acuerdo </w:t>
      </w:r>
      <w:proofErr w:type="gramStart"/>
      <w:r w:rsidRPr="00EE4F6F">
        <w:rPr>
          <w:rFonts w:ascii="Poppins" w:hAnsi="Poppins" w:cs="Poppins"/>
          <w:sz w:val="18"/>
          <w:szCs w:val="18"/>
        </w:rPr>
        <w:t>EE.UU.</w:t>
      </w:r>
      <w:proofErr w:type="gramEnd"/>
      <w:r w:rsidRPr="00EE4F6F">
        <w:rPr>
          <w:rFonts w:ascii="Poppins" w:hAnsi="Poppins" w:cs="Poppins"/>
          <w:sz w:val="18"/>
          <w:szCs w:val="18"/>
        </w:rPr>
        <w:t xml:space="preserve">–Irán. Aunque el avance del memorando redujo la presión geopolítica, la continuidad de ataques israelíes, las diferencias Trump–Netanyahu y la exigencia de una desescalada regional limitaron una </w:t>
      </w:r>
      <w:r>
        <w:rPr>
          <w:rFonts w:ascii="Poppins" w:hAnsi="Poppins" w:cs="Poppins"/>
          <w:sz w:val="18"/>
          <w:szCs w:val="18"/>
        </w:rPr>
        <w:t xml:space="preserve">tendencia bajista </w:t>
      </w:r>
      <w:r w:rsidRPr="00EE4F6F">
        <w:rPr>
          <w:rFonts w:ascii="Poppins" w:hAnsi="Poppins" w:cs="Poppins"/>
          <w:sz w:val="18"/>
          <w:szCs w:val="18"/>
        </w:rPr>
        <w:t xml:space="preserve">más profunda de los precios. Así, el riesgo de entorpecimiento del pacto es menor que en las semanas de mayor escalada, pero sigue presente mientras no se </w:t>
      </w:r>
      <w:r>
        <w:rPr>
          <w:rFonts w:ascii="Poppins" w:hAnsi="Poppins" w:cs="Poppins"/>
          <w:sz w:val="18"/>
          <w:szCs w:val="18"/>
        </w:rPr>
        <w:t>confirme la firma del acuerdo.</w:t>
      </w:r>
    </w:p>
    <w:p w14:paraId="3C1F92DF" w14:textId="77777777" w:rsidR="00BB69C2" w:rsidRDefault="00BB69C2" w:rsidP="00BB69C2">
      <w:pPr>
        <w:shd w:val="clear" w:color="auto" w:fill="FFFFFF"/>
        <w:ind w:left="425"/>
        <w:jc w:val="both"/>
        <w:rPr>
          <w:rFonts w:ascii="Poppins" w:hAnsi="Poppins" w:cs="Poppins"/>
          <w:sz w:val="18"/>
          <w:szCs w:val="18"/>
        </w:rPr>
      </w:pPr>
    </w:p>
    <w:p w14:paraId="22525A64" w14:textId="77777777" w:rsidR="00BB69C2" w:rsidRPr="00E36B6B" w:rsidRDefault="00BB69C2" w:rsidP="00BB69C2">
      <w:pPr>
        <w:pStyle w:val="Prrafodelista"/>
        <w:numPr>
          <w:ilvl w:val="0"/>
          <w:numId w:val="30"/>
        </w:numPr>
        <w:ind w:left="425"/>
        <w:contextualSpacing/>
        <w:jc w:val="both"/>
        <w:rPr>
          <w:rFonts w:ascii="Poppins" w:hAnsi="Poppins" w:cs="Poppins"/>
          <w:b/>
          <w:sz w:val="18"/>
          <w:szCs w:val="18"/>
        </w:rPr>
      </w:pPr>
      <w:r w:rsidRPr="00E36B6B">
        <w:rPr>
          <w:rFonts w:ascii="Poppins" w:hAnsi="Poppins" w:cs="Poppins"/>
          <w:b/>
          <w:sz w:val="18"/>
          <w:szCs w:val="18"/>
        </w:rPr>
        <w:t xml:space="preserve">Ucrania intensifica ataques a infraestructura petrolera rusa y mantiene </w:t>
      </w:r>
      <w:r>
        <w:rPr>
          <w:rFonts w:ascii="Poppins" w:hAnsi="Poppins" w:cs="Poppins"/>
          <w:b/>
          <w:sz w:val="18"/>
          <w:szCs w:val="18"/>
        </w:rPr>
        <w:t>el riesgo sobre crudo y derivados</w:t>
      </w:r>
    </w:p>
    <w:p w14:paraId="4C627EF3" w14:textId="77777777" w:rsidR="00BB69C2" w:rsidRPr="00E36B6B" w:rsidRDefault="00BB69C2" w:rsidP="00BB69C2">
      <w:pPr>
        <w:shd w:val="clear" w:color="auto" w:fill="FFFFFF"/>
        <w:ind w:left="425"/>
        <w:jc w:val="both"/>
        <w:rPr>
          <w:rFonts w:ascii="Poppins" w:hAnsi="Poppins" w:cs="Poppins"/>
          <w:sz w:val="18"/>
          <w:szCs w:val="18"/>
        </w:rPr>
      </w:pPr>
    </w:p>
    <w:p w14:paraId="79AD1B32" w14:textId="77777777" w:rsidR="00BB69C2" w:rsidRDefault="00BB69C2" w:rsidP="00BB69C2">
      <w:pPr>
        <w:shd w:val="clear" w:color="auto" w:fill="FFFFFF"/>
        <w:ind w:left="425"/>
        <w:jc w:val="both"/>
        <w:rPr>
          <w:rFonts w:ascii="Poppins" w:hAnsi="Poppins" w:cs="Poppins"/>
          <w:sz w:val="18"/>
          <w:szCs w:val="18"/>
        </w:rPr>
      </w:pPr>
      <w:r w:rsidRPr="00CC485F">
        <w:rPr>
          <w:rFonts w:ascii="Poppins" w:hAnsi="Poppins" w:cs="Poppins"/>
          <w:sz w:val="18"/>
          <w:szCs w:val="18"/>
        </w:rPr>
        <w:t xml:space="preserve">Durante enero–mayo de 2026, Ucrania duplicó sus ataques contra refinerías rusas frente al mismo periodo de 2025. Reuters calculó que los drones ucranianos dejaron fuera de servicio alrededor de 700 mil bpd de capacidad de refinación en 16 refinerías, frente a ocho instalaciones afectadas un año antes. La campaña </w:t>
      </w:r>
      <w:r>
        <w:rPr>
          <w:rFonts w:ascii="Poppins" w:hAnsi="Poppins" w:cs="Poppins"/>
          <w:sz w:val="18"/>
          <w:szCs w:val="18"/>
        </w:rPr>
        <w:t xml:space="preserve">ofensiva </w:t>
      </w:r>
      <w:r w:rsidRPr="00CC485F">
        <w:rPr>
          <w:rFonts w:ascii="Poppins" w:hAnsi="Poppins" w:cs="Poppins"/>
          <w:sz w:val="18"/>
          <w:szCs w:val="18"/>
        </w:rPr>
        <w:t xml:space="preserve">alcanzó activos clave como </w:t>
      </w:r>
      <w:proofErr w:type="spellStart"/>
      <w:r w:rsidRPr="00CC485F">
        <w:rPr>
          <w:rFonts w:ascii="Poppins" w:hAnsi="Poppins" w:cs="Poppins"/>
          <w:sz w:val="18"/>
          <w:szCs w:val="18"/>
        </w:rPr>
        <w:lastRenderedPageBreak/>
        <w:t>Kirishi</w:t>
      </w:r>
      <w:proofErr w:type="spellEnd"/>
      <w:r w:rsidRPr="00CC485F">
        <w:rPr>
          <w:rFonts w:ascii="Poppins" w:hAnsi="Poppins" w:cs="Poppins"/>
          <w:sz w:val="18"/>
          <w:szCs w:val="18"/>
        </w:rPr>
        <w:t xml:space="preserve">, </w:t>
      </w:r>
      <w:proofErr w:type="spellStart"/>
      <w:r w:rsidRPr="00CC485F">
        <w:rPr>
          <w:rFonts w:ascii="Poppins" w:hAnsi="Poppins" w:cs="Poppins"/>
          <w:sz w:val="18"/>
          <w:szCs w:val="18"/>
        </w:rPr>
        <w:t>Ryazan</w:t>
      </w:r>
      <w:proofErr w:type="spellEnd"/>
      <w:r w:rsidRPr="00CC485F">
        <w:rPr>
          <w:rFonts w:ascii="Poppins" w:hAnsi="Poppins" w:cs="Poppins"/>
          <w:sz w:val="18"/>
          <w:szCs w:val="18"/>
        </w:rPr>
        <w:t xml:space="preserve">, NORSI, </w:t>
      </w:r>
      <w:proofErr w:type="spellStart"/>
      <w:r w:rsidRPr="00CC485F">
        <w:rPr>
          <w:rFonts w:ascii="Poppins" w:hAnsi="Poppins" w:cs="Poppins"/>
          <w:sz w:val="18"/>
          <w:szCs w:val="18"/>
        </w:rPr>
        <w:t>Tuapse</w:t>
      </w:r>
      <w:proofErr w:type="spellEnd"/>
      <w:r w:rsidRPr="00CC485F">
        <w:rPr>
          <w:rFonts w:ascii="Poppins" w:hAnsi="Poppins" w:cs="Poppins"/>
          <w:sz w:val="18"/>
          <w:szCs w:val="18"/>
        </w:rPr>
        <w:t xml:space="preserve">, Perm, </w:t>
      </w:r>
      <w:proofErr w:type="spellStart"/>
      <w:r w:rsidRPr="00CC485F">
        <w:rPr>
          <w:rFonts w:ascii="Poppins" w:hAnsi="Poppins" w:cs="Poppins"/>
          <w:sz w:val="18"/>
          <w:szCs w:val="18"/>
        </w:rPr>
        <w:t>Syzran</w:t>
      </w:r>
      <w:proofErr w:type="spellEnd"/>
      <w:r w:rsidRPr="00CC485F">
        <w:rPr>
          <w:rFonts w:ascii="Poppins" w:hAnsi="Poppins" w:cs="Poppins"/>
          <w:sz w:val="18"/>
          <w:szCs w:val="18"/>
        </w:rPr>
        <w:t xml:space="preserve">, </w:t>
      </w:r>
      <w:proofErr w:type="spellStart"/>
      <w:r w:rsidRPr="00CC485F">
        <w:rPr>
          <w:rFonts w:ascii="Poppins" w:hAnsi="Poppins" w:cs="Poppins"/>
          <w:sz w:val="18"/>
          <w:szCs w:val="18"/>
        </w:rPr>
        <w:t>Novokuibyshevsk</w:t>
      </w:r>
      <w:proofErr w:type="spellEnd"/>
      <w:r w:rsidRPr="00CC485F">
        <w:rPr>
          <w:rFonts w:ascii="Poppins" w:hAnsi="Poppins" w:cs="Poppins"/>
          <w:sz w:val="18"/>
          <w:szCs w:val="18"/>
        </w:rPr>
        <w:t xml:space="preserve">, Moscú y Volgogrado, </w:t>
      </w:r>
      <w:r>
        <w:rPr>
          <w:rFonts w:ascii="Poppins" w:hAnsi="Poppins" w:cs="Poppins"/>
          <w:sz w:val="18"/>
          <w:szCs w:val="18"/>
        </w:rPr>
        <w:t>afectando</w:t>
      </w:r>
      <w:r w:rsidRPr="00CC485F">
        <w:rPr>
          <w:rFonts w:ascii="Poppins" w:hAnsi="Poppins" w:cs="Poppins"/>
          <w:sz w:val="18"/>
          <w:szCs w:val="18"/>
        </w:rPr>
        <w:t xml:space="preserve"> la producción rusa de gasolina, diésel</w:t>
      </w:r>
      <w:r>
        <w:rPr>
          <w:rFonts w:ascii="Poppins" w:hAnsi="Poppins" w:cs="Poppins"/>
          <w:sz w:val="18"/>
          <w:szCs w:val="18"/>
        </w:rPr>
        <w:t xml:space="preserve"> </w:t>
      </w:r>
      <w:r w:rsidRPr="00CC485F">
        <w:rPr>
          <w:rFonts w:ascii="Poppins" w:hAnsi="Poppins" w:cs="Poppins"/>
          <w:sz w:val="18"/>
          <w:szCs w:val="18"/>
        </w:rPr>
        <w:t>y otros derivados</w:t>
      </w:r>
      <w:r>
        <w:rPr>
          <w:rFonts w:ascii="Poppins" w:hAnsi="Poppins" w:cs="Poppins"/>
          <w:sz w:val="18"/>
          <w:szCs w:val="18"/>
        </w:rPr>
        <w:t xml:space="preserve">, y en consecuencia menor </w:t>
      </w:r>
      <w:r w:rsidRPr="0056143F">
        <w:rPr>
          <w:rFonts w:ascii="Poppins" w:hAnsi="Poppins" w:cs="Poppins"/>
          <w:sz w:val="18"/>
          <w:szCs w:val="18"/>
        </w:rPr>
        <w:t xml:space="preserve">disponibilidad exportable de </w:t>
      </w:r>
      <w:r>
        <w:rPr>
          <w:rFonts w:ascii="Poppins" w:hAnsi="Poppins" w:cs="Poppins"/>
          <w:sz w:val="18"/>
          <w:szCs w:val="18"/>
        </w:rPr>
        <w:t>productos.</w:t>
      </w:r>
    </w:p>
    <w:p w14:paraId="00F95517" w14:textId="77777777" w:rsidR="00BB69C2" w:rsidRDefault="00BB69C2" w:rsidP="00BB69C2">
      <w:pPr>
        <w:shd w:val="clear" w:color="auto" w:fill="FFFFFF"/>
        <w:ind w:left="425"/>
        <w:jc w:val="both"/>
        <w:rPr>
          <w:rFonts w:ascii="Poppins" w:hAnsi="Poppins" w:cs="Poppins"/>
          <w:sz w:val="18"/>
          <w:szCs w:val="18"/>
        </w:rPr>
      </w:pPr>
    </w:p>
    <w:p w14:paraId="7841F3A5" w14:textId="77777777" w:rsidR="00BB69C2" w:rsidRDefault="00BB69C2" w:rsidP="00BB69C2">
      <w:pPr>
        <w:shd w:val="clear" w:color="auto" w:fill="FFFFFF"/>
        <w:ind w:left="425"/>
        <w:jc w:val="both"/>
        <w:rPr>
          <w:rFonts w:ascii="Poppins" w:hAnsi="Poppins" w:cs="Poppins"/>
          <w:sz w:val="18"/>
          <w:szCs w:val="18"/>
        </w:rPr>
      </w:pPr>
      <w:r w:rsidRPr="00D078CC">
        <w:rPr>
          <w:rFonts w:ascii="Poppins" w:hAnsi="Poppins" w:cs="Poppins"/>
          <w:sz w:val="18"/>
          <w:szCs w:val="18"/>
        </w:rPr>
        <w:t xml:space="preserve">La presión se mantuvo entre fines de mayo y mediados de junio. Tras el ataque del 29 de mayo, la refinería de Volgogrado de </w:t>
      </w:r>
      <w:proofErr w:type="spellStart"/>
      <w:r w:rsidRPr="00D078CC">
        <w:rPr>
          <w:rFonts w:ascii="Poppins" w:hAnsi="Poppins" w:cs="Poppins"/>
          <w:sz w:val="18"/>
          <w:szCs w:val="18"/>
        </w:rPr>
        <w:t>Lukoil</w:t>
      </w:r>
      <w:proofErr w:type="spellEnd"/>
      <w:r w:rsidRPr="00D078CC">
        <w:rPr>
          <w:rFonts w:ascii="Poppins" w:hAnsi="Poppins" w:cs="Poppins"/>
          <w:sz w:val="18"/>
          <w:szCs w:val="18"/>
        </w:rPr>
        <w:t xml:space="preserve"> suspendió el procesamiento de crudo; esta planta tiene una capacidad cercana a 270 mil bpd, equivalente a alrededor del 5% del procesamiento ruso. Luego, la ofensiva alcanzó infraestructura energética en el sur y centro de Rusia, incluida la refinería Kuibyshev de Rosneft, donde se afectaron cerca de 145–150 mil bpd de capacidad, así como instalaciones petroleras en </w:t>
      </w:r>
      <w:proofErr w:type="spellStart"/>
      <w:r w:rsidRPr="00D078CC">
        <w:rPr>
          <w:rFonts w:ascii="Poppins" w:hAnsi="Poppins" w:cs="Poppins"/>
          <w:sz w:val="18"/>
          <w:szCs w:val="18"/>
        </w:rPr>
        <w:t>Kotovo</w:t>
      </w:r>
      <w:proofErr w:type="spellEnd"/>
      <w:r w:rsidRPr="00D078CC">
        <w:rPr>
          <w:rFonts w:ascii="Poppins" w:hAnsi="Poppins" w:cs="Poppins"/>
          <w:sz w:val="18"/>
          <w:szCs w:val="18"/>
        </w:rPr>
        <w:t>, en la región de Volgogrado. En conjunto, estos ataques mantuvieron el riesgo alcista sobre derivados y limitaron la capacidad rusa de estabilizar su oferta interna y externa</w:t>
      </w:r>
      <w:r>
        <w:rPr>
          <w:rFonts w:ascii="Poppins" w:hAnsi="Poppins" w:cs="Poppins"/>
          <w:sz w:val="18"/>
          <w:szCs w:val="18"/>
        </w:rPr>
        <w:t>.</w:t>
      </w:r>
    </w:p>
    <w:p w14:paraId="152D0C2A" w14:textId="77777777" w:rsidR="00BB69C2" w:rsidRDefault="00BB69C2" w:rsidP="00BB69C2">
      <w:pPr>
        <w:shd w:val="clear" w:color="auto" w:fill="FFFFFF"/>
        <w:ind w:left="425"/>
        <w:jc w:val="both"/>
        <w:rPr>
          <w:rFonts w:ascii="Poppins" w:hAnsi="Poppins" w:cs="Poppins"/>
          <w:sz w:val="18"/>
          <w:szCs w:val="18"/>
        </w:rPr>
      </w:pPr>
    </w:p>
    <w:p w14:paraId="7C3852A3" w14:textId="77777777" w:rsidR="00BB69C2" w:rsidRPr="000B5C67" w:rsidRDefault="00BB69C2" w:rsidP="00BB69C2">
      <w:pPr>
        <w:pStyle w:val="Prrafodelista"/>
        <w:numPr>
          <w:ilvl w:val="0"/>
          <w:numId w:val="30"/>
        </w:numPr>
        <w:ind w:left="425"/>
        <w:contextualSpacing/>
        <w:jc w:val="both"/>
        <w:rPr>
          <w:rFonts w:ascii="Poppins" w:hAnsi="Poppins" w:cs="Poppins"/>
          <w:b/>
          <w:sz w:val="18"/>
          <w:szCs w:val="18"/>
        </w:rPr>
      </w:pPr>
      <w:r w:rsidRPr="000B5C67">
        <w:rPr>
          <w:rFonts w:ascii="Poppins" w:hAnsi="Poppins" w:cs="Poppins"/>
          <w:b/>
          <w:sz w:val="18"/>
          <w:szCs w:val="18"/>
        </w:rPr>
        <w:t xml:space="preserve">Inventarios ajustados y temporada de mayor movilidad en </w:t>
      </w:r>
      <w:proofErr w:type="gramStart"/>
      <w:r w:rsidRPr="000B5C67">
        <w:rPr>
          <w:rFonts w:ascii="Poppins" w:hAnsi="Poppins" w:cs="Poppins"/>
          <w:b/>
          <w:sz w:val="18"/>
          <w:szCs w:val="18"/>
        </w:rPr>
        <w:t>EE.UU.</w:t>
      </w:r>
      <w:proofErr w:type="gramEnd"/>
      <w:r w:rsidRPr="000B5C67">
        <w:rPr>
          <w:rFonts w:ascii="Poppins" w:hAnsi="Poppins" w:cs="Poppins"/>
          <w:b/>
          <w:sz w:val="18"/>
          <w:szCs w:val="18"/>
        </w:rPr>
        <w:t xml:space="preserve"> </w:t>
      </w:r>
      <w:r>
        <w:rPr>
          <w:rFonts w:ascii="Poppins" w:hAnsi="Poppins" w:cs="Poppins"/>
          <w:b/>
          <w:sz w:val="18"/>
          <w:szCs w:val="18"/>
        </w:rPr>
        <w:t>limitan la caída de gasolinas y combustibles</w:t>
      </w:r>
    </w:p>
    <w:p w14:paraId="17C73DF0" w14:textId="77777777" w:rsidR="00BB69C2" w:rsidRDefault="00BB69C2" w:rsidP="00BB69C2">
      <w:pPr>
        <w:shd w:val="clear" w:color="auto" w:fill="FFFFFF"/>
        <w:ind w:left="425"/>
        <w:jc w:val="both"/>
        <w:rPr>
          <w:rFonts w:ascii="Poppins" w:hAnsi="Poppins" w:cs="Poppins"/>
          <w:sz w:val="18"/>
          <w:szCs w:val="18"/>
        </w:rPr>
      </w:pPr>
    </w:p>
    <w:p w14:paraId="519FEA71" w14:textId="77777777" w:rsidR="00BB69C2" w:rsidRPr="0099610D" w:rsidRDefault="00BB69C2" w:rsidP="00BB69C2">
      <w:pPr>
        <w:shd w:val="clear" w:color="auto" w:fill="FFFFFF"/>
        <w:ind w:left="425"/>
        <w:jc w:val="both"/>
        <w:rPr>
          <w:rFonts w:ascii="Poppins" w:hAnsi="Poppins" w:cs="Poppins"/>
          <w:sz w:val="18"/>
          <w:szCs w:val="18"/>
        </w:rPr>
      </w:pPr>
      <w:r w:rsidRPr="0099610D">
        <w:rPr>
          <w:rFonts w:ascii="Poppins" w:hAnsi="Poppins" w:cs="Poppins"/>
          <w:sz w:val="18"/>
          <w:szCs w:val="18"/>
        </w:rPr>
        <w:t xml:space="preserve">La temporada de mayor movilidad en </w:t>
      </w:r>
      <w:proofErr w:type="gramStart"/>
      <w:r w:rsidRPr="0099610D">
        <w:rPr>
          <w:rFonts w:ascii="Poppins" w:hAnsi="Poppins" w:cs="Poppins"/>
          <w:sz w:val="18"/>
          <w:szCs w:val="18"/>
        </w:rPr>
        <w:t>EE.UU.</w:t>
      </w:r>
      <w:proofErr w:type="gramEnd"/>
      <w:r w:rsidRPr="0099610D">
        <w:rPr>
          <w:rFonts w:ascii="Poppins" w:hAnsi="Poppins" w:cs="Poppins"/>
          <w:sz w:val="18"/>
          <w:szCs w:val="18"/>
        </w:rPr>
        <w:t xml:space="preserve"> comenzó con un fuerte desplazamiento de viajeros, aunque su efecto sobre los precios fue más de soporte que de impulso alcista directo. </w:t>
      </w:r>
      <w:r>
        <w:rPr>
          <w:rFonts w:ascii="Poppins" w:hAnsi="Poppins" w:cs="Poppins"/>
          <w:sz w:val="18"/>
          <w:szCs w:val="18"/>
        </w:rPr>
        <w:t xml:space="preserve">El </w:t>
      </w:r>
      <w:r w:rsidRPr="006F0384">
        <w:rPr>
          <w:rFonts w:ascii="Poppins" w:hAnsi="Poppins" w:cs="Poppins"/>
          <w:i/>
          <w:iCs/>
          <w:sz w:val="18"/>
          <w:szCs w:val="18"/>
        </w:rPr>
        <w:t>Memorial Day</w:t>
      </w:r>
      <w:r w:rsidRPr="0099610D">
        <w:rPr>
          <w:rFonts w:ascii="Poppins" w:hAnsi="Poppins" w:cs="Poppins"/>
          <w:sz w:val="18"/>
          <w:szCs w:val="18"/>
        </w:rPr>
        <w:t>, feriado que marca el inicio del periodo de alto consumo de verano</w:t>
      </w:r>
      <w:r>
        <w:rPr>
          <w:rFonts w:ascii="Poppins" w:hAnsi="Poppins" w:cs="Poppins"/>
          <w:sz w:val="18"/>
          <w:szCs w:val="18"/>
        </w:rPr>
        <w:t xml:space="preserve"> en </w:t>
      </w:r>
      <w:proofErr w:type="gramStart"/>
      <w:r>
        <w:rPr>
          <w:rFonts w:ascii="Poppins" w:hAnsi="Poppins" w:cs="Poppins"/>
          <w:sz w:val="18"/>
          <w:szCs w:val="18"/>
        </w:rPr>
        <w:t>EE.UU.</w:t>
      </w:r>
      <w:proofErr w:type="gramEnd"/>
      <w:r w:rsidRPr="0099610D">
        <w:rPr>
          <w:rFonts w:ascii="Poppins" w:hAnsi="Poppins" w:cs="Poppins"/>
          <w:sz w:val="18"/>
          <w:szCs w:val="18"/>
        </w:rPr>
        <w:t xml:space="preserve">, registró una proyección récord de 45 millones de viajeros entre el 21 y 25 de mayo, de los cuales 39,1 millones se movilizarían por carretera. Este mayor flujo confirmó una demanda de gasolina resiliente, pero no suficiente para sostener por sí sola un aumento prolongado de </w:t>
      </w:r>
      <w:r>
        <w:rPr>
          <w:rFonts w:ascii="Poppins" w:hAnsi="Poppins" w:cs="Poppins"/>
          <w:sz w:val="18"/>
          <w:szCs w:val="18"/>
        </w:rPr>
        <w:t xml:space="preserve">los </w:t>
      </w:r>
      <w:r w:rsidRPr="0099610D">
        <w:rPr>
          <w:rFonts w:ascii="Poppins" w:hAnsi="Poppins" w:cs="Poppins"/>
          <w:sz w:val="18"/>
          <w:szCs w:val="18"/>
        </w:rPr>
        <w:t>precios.</w:t>
      </w:r>
    </w:p>
    <w:p w14:paraId="7EF1CB1C" w14:textId="77777777" w:rsidR="00BB69C2" w:rsidRPr="0099610D" w:rsidRDefault="00BB69C2" w:rsidP="00BB69C2">
      <w:pPr>
        <w:shd w:val="clear" w:color="auto" w:fill="FFFFFF"/>
        <w:ind w:left="425"/>
        <w:jc w:val="both"/>
        <w:rPr>
          <w:rFonts w:ascii="Poppins" w:hAnsi="Poppins" w:cs="Poppins"/>
          <w:sz w:val="18"/>
          <w:szCs w:val="18"/>
        </w:rPr>
      </w:pPr>
    </w:p>
    <w:p w14:paraId="1D09FE1D" w14:textId="77777777" w:rsidR="00BB69C2" w:rsidRDefault="00BB69C2" w:rsidP="00BB69C2">
      <w:pPr>
        <w:shd w:val="clear" w:color="auto" w:fill="FFFFFF"/>
        <w:ind w:left="425"/>
        <w:jc w:val="both"/>
        <w:rPr>
          <w:rFonts w:ascii="Poppins" w:hAnsi="Poppins" w:cs="Poppins"/>
          <w:sz w:val="18"/>
          <w:szCs w:val="18"/>
        </w:rPr>
      </w:pPr>
      <w:r w:rsidRPr="006F0384">
        <w:rPr>
          <w:rFonts w:ascii="Poppins" w:hAnsi="Poppins" w:cs="Poppins"/>
          <w:sz w:val="18"/>
          <w:szCs w:val="18"/>
        </w:rPr>
        <w:t>Por ello, el soporte a los precios dependió más de la combinación entre mayor movilidad, inventarios ajustados y riesgo logístico internacional. Antes de</w:t>
      </w:r>
      <w:r>
        <w:rPr>
          <w:rFonts w:ascii="Poppins" w:hAnsi="Poppins" w:cs="Poppins"/>
          <w:sz w:val="18"/>
          <w:szCs w:val="18"/>
        </w:rPr>
        <w:t>l</w:t>
      </w:r>
      <w:r w:rsidRPr="006F0384">
        <w:rPr>
          <w:rFonts w:ascii="Poppins" w:hAnsi="Poppins" w:cs="Poppins"/>
          <w:sz w:val="18"/>
          <w:szCs w:val="18"/>
        </w:rPr>
        <w:t xml:space="preserve"> </w:t>
      </w:r>
      <w:r w:rsidRPr="006F0384">
        <w:rPr>
          <w:rFonts w:ascii="Poppins" w:hAnsi="Poppins" w:cs="Poppins"/>
          <w:i/>
          <w:iCs/>
          <w:sz w:val="18"/>
          <w:szCs w:val="18"/>
        </w:rPr>
        <w:t>Memorial Day</w:t>
      </w:r>
      <w:r w:rsidRPr="006F0384">
        <w:rPr>
          <w:rFonts w:ascii="Poppins" w:hAnsi="Poppins" w:cs="Poppins"/>
          <w:sz w:val="18"/>
          <w:szCs w:val="18"/>
        </w:rPr>
        <w:t xml:space="preserve">, los inventarios de gasolina se ubicaban cerca de 211,6 millones de barriles, alrededor de 6% por debajo del promedio de los últimos cinco años; aunque luego repuntaron hacia 215 millones de barriles, el mercado ingresó a junio con menor holgura frente al verano. A ello se sumó la advertencia de la </w:t>
      </w:r>
      <w:r w:rsidRPr="008649C4">
        <w:rPr>
          <w:rFonts w:ascii="Poppins" w:hAnsi="Poppins" w:cs="Poppins"/>
          <w:i/>
          <w:iCs/>
          <w:sz w:val="18"/>
          <w:szCs w:val="18"/>
        </w:rPr>
        <w:t xml:space="preserve">Energy </w:t>
      </w:r>
      <w:proofErr w:type="spellStart"/>
      <w:r w:rsidRPr="008649C4">
        <w:rPr>
          <w:rFonts w:ascii="Poppins" w:hAnsi="Poppins" w:cs="Poppins"/>
          <w:i/>
          <w:iCs/>
          <w:sz w:val="18"/>
          <w:szCs w:val="18"/>
        </w:rPr>
        <w:t>Information</w:t>
      </w:r>
      <w:proofErr w:type="spellEnd"/>
      <w:r w:rsidRPr="008649C4">
        <w:rPr>
          <w:rFonts w:ascii="Poppins" w:hAnsi="Poppins" w:cs="Poppins"/>
          <w:i/>
          <w:iCs/>
          <w:sz w:val="18"/>
          <w:szCs w:val="18"/>
        </w:rPr>
        <w:t xml:space="preserve"> </w:t>
      </w:r>
      <w:proofErr w:type="spellStart"/>
      <w:r w:rsidRPr="008649C4">
        <w:rPr>
          <w:rFonts w:ascii="Poppins" w:hAnsi="Poppins" w:cs="Poppins"/>
          <w:i/>
          <w:iCs/>
          <w:sz w:val="18"/>
          <w:szCs w:val="18"/>
        </w:rPr>
        <w:t>Administration</w:t>
      </w:r>
      <w:proofErr w:type="spellEnd"/>
      <w:r>
        <w:rPr>
          <w:rFonts w:ascii="Poppins" w:hAnsi="Poppins" w:cs="Poppins"/>
          <w:sz w:val="18"/>
          <w:szCs w:val="18"/>
        </w:rPr>
        <w:t xml:space="preserve"> (EIA)</w:t>
      </w:r>
      <w:r w:rsidRPr="006F0384">
        <w:rPr>
          <w:rFonts w:ascii="Poppins" w:hAnsi="Poppins" w:cs="Poppins"/>
          <w:sz w:val="18"/>
          <w:szCs w:val="18"/>
        </w:rPr>
        <w:t xml:space="preserve"> de que los inventarios globales de crudo podían caer a niveles críticos antes del pico estacional de demanda, mientras la normalización del Estrecho de Ormuz podría tomar entre 6 y 8 meses. En consecuencia, la mayor movilidad no generó una presión alcista autónoma, pero sí ayudó a limitar la caída de gasolinas, combustible de aviación y otros combustibles.</w:t>
      </w:r>
    </w:p>
    <w:p w14:paraId="23666BA3" w14:textId="77777777" w:rsidR="00BB69C2" w:rsidRDefault="00BB69C2" w:rsidP="00BB69C2">
      <w:pPr>
        <w:shd w:val="clear" w:color="auto" w:fill="FFFFFF"/>
        <w:ind w:left="425"/>
        <w:jc w:val="both"/>
        <w:rPr>
          <w:rFonts w:ascii="Poppins" w:hAnsi="Poppins" w:cs="Poppins"/>
          <w:sz w:val="18"/>
          <w:szCs w:val="18"/>
        </w:rPr>
      </w:pPr>
    </w:p>
    <w:p w14:paraId="2B3C2289" w14:textId="77777777" w:rsidR="00BB69C2" w:rsidRPr="008649C4" w:rsidRDefault="00BB69C2" w:rsidP="00BB69C2">
      <w:pPr>
        <w:pStyle w:val="Prrafodelista"/>
        <w:numPr>
          <w:ilvl w:val="0"/>
          <w:numId w:val="30"/>
        </w:numPr>
        <w:ind w:left="425"/>
        <w:contextualSpacing/>
        <w:jc w:val="both"/>
        <w:rPr>
          <w:rFonts w:ascii="Poppins" w:hAnsi="Poppins" w:cs="Poppins"/>
          <w:b/>
          <w:sz w:val="18"/>
          <w:szCs w:val="18"/>
        </w:rPr>
      </w:pPr>
      <w:r w:rsidRPr="008649C4">
        <w:rPr>
          <w:rFonts w:ascii="Poppins" w:hAnsi="Poppins" w:cs="Poppins"/>
          <w:b/>
          <w:sz w:val="18"/>
          <w:szCs w:val="18"/>
        </w:rPr>
        <w:t>OPEP y AIE ajustan a la baja sus previsiones de demanda petrolera para 2026</w:t>
      </w:r>
    </w:p>
    <w:p w14:paraId="3D059ED6" w14:textId="77777777" w:rsidR="00BB69C2" w:rsidRDefault="00BB69C2" w:rsidP="00BB69C2">
      <w:pPr>
        <w:shd w:val="clear" w:color="auto" w:fill="FFFFFF"/>
        <w:ind w:left="425"/>
        <w:jc w:val="both"/>
        <w:rPr>
          <w:rFonts w:ascii="Poppins" w:hAnsi="Poppins" w:cs="Poppins"/>
          <w:sz w:val="18"/>
          <w:szCs w:val="18"/>
        </w:rPr>
      </w:pPr>
    </w:p>
    <w:p w14:paraId="1BAB5302" w14:textId="77777777" w:rsidR="00BB69C2" w:rsidRPr="008649C4" w:rsidRDefault="00BB69C2" w:rsidP="00BB69C2">
      <w:pPr>
        <w:shd w:val="clear" w:color="auto" w:fill="FFFFFF"/>
        <w:ind w:left="425"/>
        <w:jc w:val="both"/>
        <w:rPr>
          <w:rFonts w:ascii="Poppins" w:hAnsi="Poppins" w:cs="Poppins"/>
          <w:sz w:val="18"/>
          <w:szCs w:val="18"/>
        </w:rPr>
      </w:pPr>
      <w:r w:rsidRPr="008649C4">
        <w:rPr>
          <w:rFonts w:ascii="Poppins" w:hAnsi="Poppins" w:cs="Poppins"/>
          <w:sz w:val="18"/>
          <w:szCs w:val="18"/>
        </w:rPr>
        <w:t>La OPEP redujo por segundo mes consecutivo su previsión de crecimiento de la demanda mundial de petróleo para 2026, ubicándola en 970 mil bpd. El ajuste implica una rebaja de 200 mil bpd frente a su estimación del mes anterior, reflejando un escenario de menor absorción de crudo por la desaceleración del consumo, el impacto de precios más altos y la incertidumbre generada por las tensiones geopolíticas.</w:t>
      </w:r>
    </w:p>
    <w:p w14:paraId="169C3059" w14:textId="77777777" w:rsidR="00BB69C2" w:rsidRPr="008649C4" w:rsidRDefault="00BB69C2" w:rsidP="00BB69C2">
      <w:pPr>
        <w:shd w:val="clear" w:color="auto" w:fill="FFFFFF"/>
        <w:ind w:left="425"/>
        <w:jc w:val="both"/>
        <w:rPr>
          <w:rFonts w:ascii="Poppins" w:hAnsi="Poppins" w:cs="Poppins"/>
          <w:sz w:val="18"/>
          <w:szCs w:val="18"/>
        </w:rPr>
      </w:pPr>
    </w:p>
    <w:p w14:paraId="00F777CA" w14:textId="77777777" w:rsidR="00BB69C2" w:rsidRDefault="00BB69C2" w:rsidP="00BB69C2">
      <w:pPr>
        <w:shd w:val="clear" w:color="auto" w:fill="FFFFFF"/>
        <w:ind w:left="425"/>
        <w:jc w:val="both"/>
        <w:rPr>
          <w:rFonts w:ascii="Poppins" w:hAnsi="Poppins" w:cs="Poppins"/>
          <w:sz w:val="18"/>
          <w:szCs w:val="18"/>
        </w:rPr>
      </w:pPr>
      <w:r w:rsidRPr="008649C4">
        <w:rPr>
          <w:rFonts w:ascii="Poppins" w:hAnsi="Poppins" w:cs="Poppins"/>
          <w:sz w:val="18"/>
          <w:szCs w:val="18"/>
        </w:rPr>
        <w:t xml:space="preserve">La Agencia Internacional de la Energía también ajustó a la baja su balance de demanda para 2026, pero con una lectura más pesimista que la OPEP. La AIE proyectó que la demanda mundial se ubicaría en 104 millones bpd, es decir, 1,3 millones bpd por debajo de su estimación previa a la guerra. Además, prevé una contracción interanual de 420 mil bpd, </w:t>
      </w:r>
      <w:r w:rsidRPr="008649C4">
        <w:rPr>
          <w:rFonts w:ascii="Poppins" w:hAnsi="Poppins" w:cs="Poppins"/>
          <w:sz w:val="18"/>
          <w:szCs w:val="18"/>
        </w:rPr>
        <w:lastRenderedPageBreak/>
        <w:t>afectada por mayores precios, menor actividad económica y medidas de ahorro de consumo, especialmente en sectores como petroquímica y aviación.</w:t>
      </w:r>
    </w:p>
    <w:p w14:paraId="3DCB5861" w14:textId="77777777" w:rsidR="00BB69C2" w:rsidRDefault="00BB69C2" w:rsidP="00B44B9F">
      <w:pPr>
        <w:shd w:val="clear" w:color="auto" w:fill="FFFFFF"/>
        <w:ind w:left="425"/>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2"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3"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4"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0858E0F5"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916CE3">
        <w:rPr>
          <w:rFonts w:ascii="Poppins" w:hAnsi="Poppins" w:cs="Poppins"/>
          <w:sz w:val="18"/>
          <w:szCs w:val="18"/>
        </w:rPr>
        <w:t>12</w:t>
      </w:r>
      <w:r w:rsidR="00581B20" w:rsidRPr="00581B20">
        <w:rPr>
          <w:rFonts w:ascii="Poppins" w:hAnsi="Poppins" w:cs="Poppins"/>
          <w:sz w:val="18"/>
          <w:szCs w:val="18"/>
        </w:rPr>
        <w:t>-202</w:t>
      </w:r>
      <w:r w:rsidR="00916CE3">
        <w:rPr>
          <w:rFonts w:ascii="Poppins" w:hAnsi="Poppins" w:cs="Poppins"/>
          <w:sz w:val="18"/>
          <w:szCs w:val="18"/>
        </w:rPr>
        <w:t>6</w:t>
      </w:r>
      <w:r w:rsidR="00581B20" w:rsidRPr="00581B20">
        <w:rPr>
          <w:rFonts w:ascii="Poppins" w:hAnsi="Poppins" w:cs="Poppins"/>
          <w:sz w:val="18"/>
          <w:szCs w:val="18"/>
        </w:rPr>
        <w:t>-OS/GRT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916CE3">
        <w:rPr>
          <w:rFonts w:ascii="Poppins" w:hAnsi="Poppins" w:cs="Poppins"/>
          <w:sz w:val="18"/>
          <w:szCs w:val="18"/>
        </w:rPr>
        <w:t>01</w:t>
      </w:r>
      <w:r w:rsidR="004748A9" w:rsidRPr="00581B20">
        <w:rPr>
          <w:rFonts w:ascii="Poppins" w:hAnsi="Poppins" w:cs="Poppins"/>
          <w:sz w:val="18"/>
          <w:szCs w:val="18"/>
        </w:rPr>
        <w:t xml:space="preserve"> de </w:t>
      </w:r>
      <w:r w:rsidR="00916CE3">
        <w:rPr>
          <w:rFonts w:ascii="Poppins" w:hAnsi="Poppins" w:cs="Poppins"/>
          <w:sz w:val="18"/>
          <w:szCs w:val="18"/>
        </w:rPr>
        <w:t>mayo</w:t>
      </w:r>
      <w:r w:rsidR="004748A9" w:rsidRPr="00581B20">
        <w:rPr>
          <w:rFonts w:ascii="Poppins" w:hAnsi="Poppins" w:cs="Poppins"/>
          <w:sz w:val="18"/>
          <w:szCs w:val="18"/>
        </w:rPr>
        <w:t xml:space="preserve"> de 202</w:t>
      </w:r>
      <w:r w:rsidR="00916CE3">
        <w:rPr>
          <w:rFonts w:ascii="Poppins" w:hAnsi="Poppins" w:cs="Poppins"/>
          <w:sz w:val="18"/>
          <w:szCs w:val="18"/>
        </w:rPr>
        <w:t>6</w:t>
      </w:r>
      <w:r w:rsidR="004748A9" w:rsidRPr="00581B20">
        <w:rPr>
          <w:rFonts w:ascii="Poppins" w:hAnsi="Poppins" w:cs="Poppins"/>
          <w:sz w:val="18"/>
          <w:szCs w:val="18"/>
        </w:rPr>
        <w:t xml:space="preserve"> hasta el </w:t>
      </w:r>
      <w:r w:rsidR="000951EC">
        <w:rPr>
          <w:rFonts w:ascii="Poppins" w:hAnsi="Poppins" w:cs="Poppins"/>
          <w:sz w:val="18"/>
          <w:szCs w:val="18"/>
        </w:rPr>
        <w:t>25</w:t>
      </w:r>
      <w:r w:rsidR="004748A9" w:rsidRPr="00581B20">
        <w:rPr>
          <w:rFonts w:ascii="Poppins" w:hAnsi="Poppins" w:cs="Poppins"/>
          <w:sz w:val="18"/>
          <w:szCs w:val="18"/>
        </w:rPr>
        <w:t xml:space="preserve"> de </w:t>
      </w:r>
      <w:r w:rsidR="000951EC">
        <w:rPr>
          <w:rFonts w:ascii="Poppins" w:hAnsi="Poppins" w:cs="Poppins"/>
          <w:sz w:val="18"/>
          <w:szCs w:val="18"/>
        </w:rPr>
        <w:t>junio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08B6516D"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0951EC">
        <w:rPr>
          <w:rFonts w:ascii="Poppins" w:hAnsi="Poppins" w:cs="Poppins"/>
          <w:sz w:val="18"/>
          <w:szCs w:val="18"/>
        </w:rPr>
        <w:t>1</w:t>
      </w:r>
      <w:r w:rsidR="009E32BE">
        <w:rPr>
          <w:rFonts w:ascii="Poppins" w:hAnsi="Poppins" w:cs="Poppins"/>
          <w:sz w:val="18"/>
          <w:szCs w:val="18"/>
        </w:rPr>
        <w:t>4</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9E32BE">
        <w:rPr>
          <w:rFonts w:ascii="Poppins" w:hAnsi="Poppins" w:cs="Poppins"/>
          <w:sz w:val="18"/>
          <w:szCs w:val="18"/>
        </w:rPr>
        <w:t>29</w:t>
      </w:r>
      <w:r w:rsidR="007C4098">
        <w:rPr>
          <w:rFonts w:ascii="Poppins" w:hAnsi="Poppins" w:cs="Poppins"/>
          <w:sz w:val="18"/>
          <w:szCs w:val="18"/>
        </w:rPr>
        <w:t xml:space="preserve"> de</w:t>
      </w:r>
      <w:r w:rsidRPr="00581B20">
        <w:rPr>
          <w:rFonts w:ascii="Poppins" w:hAnsi="Poppins" w:cs="Poppins"/>
          <w:sz w:val="18"/>
          <w:szCs w:val="18"/>
        </w:rPr>
        <w:t xml:space="preserve"> </w:t>
      </w:r>
      <w:r w:rsidR="00AA7D7A">
        <w:rPr>
          <w:rFonts w:ascii="Poppins" w:hAnsi="Poppins" w:cs="Poppins"/>
          <w:sz w:val="18"/>
          <w:szCs w:val="18"/>
        </w:rPr>
        <w:t>ma</w:t>
      </w:r>
      <w:r w:rsidR="000951EC">
        <w:rPr>
          <w:rFonts w:ascii="Poppins" w:hAnsi="Poppins" w:cs="Poppins"/>
          <w:sz w:val="18"/>
          <w:szCs w:val="18"/>
        </w:rPr>
        <w:t>y</w:t>
      </w:r>
      <w:r w:rsidR="00AA7D7A">
        <w:rPr>
          <w:rFonts w:ascii="Poppins" w:hAnsi="Poppins" w:cs="Poppins"/>
          <w:sz w:val="18"/>
          <w:szCs w:val="18"/>
        </w:rPr>
        <w:t>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0951EC">
        <w:rPr>
          <w:rFonts w:ascii="Poppins" w:hAnsi="Poppins" w:cs="Poppins"/>
          <w:sz w:val="18"/>
          <w:szCs w:val="18"/>
        </w:rPr>
        <w:t>2</w:t>
      </w:r>
      <w:r w:rsidR="009E32BE">
        <w:rPr>
          <w:rFonts w:ascii="Poppins" w:hAnsi="Poppins" w:cs="Poppins"/>
          <w:sz w:val="18"/>
          <w:szCs w:val="18"/>
        </w:rPr>
        <w:t>5</w:t>
      </w:r>
      <w:r w:rsidRPr="00581B20">
        <w:rPr>
          <w:rFonts w:ascii="Poppins" w:hAnsi="Poppins" w:cs="Poppins"/>
          <w:sz w:val="18"/>
          <w:szCs w:val="18"/>
        </w:rPr>
        <w:t xml:space="preserve"> de </w:t>
      </w:r>
      <w:r w:rsidR="009E32BE">
        <w:rPr>
          <w:rFonts w:ascii="Poppins" w:hAnsi="Poppins" w:cs="Poppins"/>
          <w:sz w:val="18"/>
          <w:szCs w:val="18"/>
        </w:rPr>
        <w:t>junio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39BAAB66"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E83F4B">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E83F4B">
        <w:rPr>
          <w:rFonts w:ascii="Poppins" w:hAnsi="Poppins" w:cs="Poppins"/>
          <w:sz w:val="18"/>
          <w:szCs w:val="18"/>
        </w:rPr>
        <w:t>1</w:t>
      </w:r>
      <w:r w:rsidR="009E32BE">
        <w:rPr>
          <w:rFonts w:ascii="Poppins" w:hAnsi="Poppins" w:cs="Poppins"/>
          <w:sz w:val="18"/>
          <w:szCs w:val="18"/>
        </w:rPr>
        <w:t>4</w:t>
      </w:r>
      <w:r w:rsidR="00E26DC5" w:rsidRPr="0096213B">
        <w:rPr>
          <w:rFonts w:ascii="Poppins" w:hAnsi="Poppins" w:cs="Poppins"/>
          <w:sz w:val="18"/>
          <w:szCs w:val="18"/>
        </w:rPr>
        <w:t>-202</w:t>
      </w:r>
      <w:r w:rsidR="008A0B48">
        <w:rPr>
          <w:rFonts w:ascii="Poppins" w:hAnsi="Poppins" w:cs="Poppins"/>
          <w:sz w:val="18"/>
          <w:szCs w:val="18"/>
        </w:rPr>
        <w:t>6</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D05E42">
        <w:rPr>
          <w:rFonts w:ascii="Poppins" w:hAnsi="Poppins" w:cs="Poppins"/>
          <w:sz w:val="18"/>
          <w:szCs w:val="18"/>
        </w:rPr>
        <w:t>16</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9E32BE">
        <w:rPr>
          <w:rFonts w:ascii="Poppins" w:hAnsi="Poppins" w:cs="Poppins"/>
          <w:sz w:val="18"/>
          <w:szCs w:val="18"/>
        </w:rPr>
        <w:t>junio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9E32BE">
        <w:rPr>
          <w:rFonts w:ascii="Poppins" w:hAnsi="Poppins" w:cs="Poppins"/>
          <w:sz w:val="18"/>
          <w:szCs w:val="18"/>
        </w:rPr>
        <w:t>lunes</w:t>
      </w:r>
      <w:r w:rsidR="001A4A01">
        <w:rPr>
          <w:rFonts w:ascii="Poppins" w:hAnsi="Poppins" w:cs="Poppins"/>
          <w:sz w:val="18"/>
          <w:szCs w:val="18"/>
        </w:rPr>
        <w:t xml:space="preserve"> </w:t>
      </w:r>
      <w:r w:rsidR="00D05E42">
        <w:rPr>
          <w:rFonts w:ascii="Poppins" w:hAnsi="Poppins" w:cs="Poppins"/>
          <w:sz w:val="18"/>
          <w:szCs w:val="18"/>
        </w:rPr>
        <w:t>22</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9E32BE">
        <w:rPr>
          <w:rFonts w:ascii="Poppins" w:hAnsi="Poppins" w:cs="Poppins"/>
          <w:sz w:val="18"/>
          <w:szCs w:val="18"/>
        </w:rPr>
        <w:t>junio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0DC0FA16" w:rsidR="00E804F9" w:rsidRPr="00B44B9F"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24620B">
        <w:rPr>
          <w:rFonts w:ascii="Poppins" w:hAnsi="Poppins" w:cs="Poppins"/>
          <w:sz w:val="18"/>
          <w:szCs w:val="18"/>
        </w:rPr>
        <w:t>16</w:t>
      </w:r>
      <w:r w:rsidRPr="00A01E92">
        <w:rPr>
          <w:rFonts w:ascii="Poppins" w:hAnsi="Poppins" w:cs="Poppins"/>
          <w:sz w:val="18"/>
          <w:szCs w:val="18"/>
        </w:rPr>
        <w:t>.</w:t>
      </w:r>
      <w:r w:rsidR="005151B0">
        <w:rPr>
          <w:rFonts w:ascii="Poppins" w:hAnsi="Poppins" w:cs="Poppins"/>
          <w:sz w:val="18"/>
          <w:szCs w:val="18"/>
        </w:rPr>
        <w:t>0</w:t>
      </w:r>
      <w:r w:rsidR="00270413">
        <w:rPr>
          <w:rFonts w:ascii="Poppins" w:hAnsi="Poppins" w:cs="Poppins"/>
          <w:sz w:val="18"/>
          <w:szCs w:val="18"/>
        </w:rPr>
        <w:t>6</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9E527C">
        <w:rPr>
          <w:rFonts w:ascii="Poppins" w:hAnsi="Poppins" w:cs="Poppins"/>
          <w:sz w:val="18"/>
          <w:szCs w:val="18"/>
        </w:rPr>
        <w:t xml:space="preserve"> </w:t>
      </w:r>
      <w:r w:rsidR="00A7646E">
        <w:rPr>
          <w:rFonts w:ascii="Poppins" w:hAnsi="Poppins" w:cs="Poppins"/>
          <w:sz w:val="18"/>
          <w:szCs w:val="18"/>
        </w:rPr>
        <w:t>l</w:t>
      </w:r>
      <w:r w:rsidR="009E527C">
        <w:rPr>
          <w:rFonts w:ascii="Poppins" w:hAnsi="Poppins" w:cs="Poppins"/>
          <w:sz w:val="18"/>
          <w:szCs w:val="18"/>
        </w:rPr>
        <w:t>a</w:t>
      </w:r>
      <w:r w:rsidR="00A7646E">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24620B">
        <w:rPr>
          <w:rFonts w:ascii="Poppins" w:hAnsi="Poppins" w:cs="Poppins"/>
          <w:sz w:val="18"/>
          <w:szCs w:val="18"/>
        </w:rPr>
        <w:t>+</w:t>
      </w:r>
      <w:r w:rsidR="00E56210">
        <w:rPr>
          <w:rFonts w:ascii="Poppins" w:hAnsi="Poppins" w:cs="Poppins"/>
          <w:sz w:val="18"/>
          <w:szCs w:val="18"/>
        </w:rPr>
        <w:t>0</w:t>
      </w:r>
      <w:r w:rsidR="00460518">
        <w:rPr>
          <w:rFonts w:ascii="Poppins" w:hAnsi="Poppins" w:cs="Poppins"/>
          <w:sz w:val="18"/>
          <w:szCs w:val="18"/>
        </w:rPr>
        <w:t>,</w:t>
      </w:r>
      <w:r w:rsidR="0024620B">
        <w:rPr>
          <w:rFonts w:ascii="Poppins" w:hAnsi="Poppins" w:cs="Poppins"/>
          <w:sz w:val="18"/>
          <w:szCs w:val="18"/>
        </w:rPr>
        <w:t>18</w:t>
      </w:r>
      <w:r w:rsidR="0033361B">
        <w:rPr>
          <w:rFonts w:ascii="Poppins" w:hAnsi="Poppins" w:cs="Poppins"/>
          <w:sz w:val="18"/>
          <w:szCs w:val="18"/>
        </w:rPr>
        <w:t xml:space="preserve"> </w:t>
      </w:r>
      <w:r w:rsidR="00093757" w:rsidRPr="00A01E92">
        <w:rPr>
          <w:rFonts w:ascii="Poppins" w:hAnsi="Poppins" w:cs="Poppins"/>
          <w:sz w:val="18"/>
          <w:szCs w:val="18"/>
        </w:rPr>
        <w:t>S/</w:t>
      </w:r>
      <w:proofErr w:type="spellStart"/>
      <w:r w:rsidR="00093757" w:rsidRPr="00A01E92">
        <w:rPr>
          <w:rFonts w:ascii="Poppins" w:hAnsi="Poppins" w:cs="Poppins"/>
          <w:sz w:val="18"/>
          <w:szCs w:val="18"/>
        </w:rPr>
        <w:t>Gln</w:t>
      </w:r>
      <w:proofErr w:type="spellEnd"/>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24620B">
        <w:rPr>
          <w:rFonts w:ascii="Poppins" w:hAnsi="Poppins" w:cs="Poppins"/>
          <w:sz w:val="18"/>
          <w:szCs w:val="18"/>
        </w:rPr>
        <w:t>+</w:t>
      </w:r>
      <w:r w:rsidR="00E56210">
        <w:rPr>
          <w:rFonts w:ascii="Poppins" w:hAnsi="Poppins" w:cs="Poppins"/>
          <w:sz w:val="18"/>
          <w:szCs w:val="18"/>
        </w:rPr>
        <w:t>0</w:t>
      </w:r>
      <w:r w:rsidR="00465772" w:rsidRPr="00A01E92">
        <w:rPr>
          <w:rFonts w:ascii="Poppins" w:hAnsi="Poppins" w:cs="Poppins"/>
          <w:sz w:val="18"/>
          <w:szCs w:val="18"/>
        </w:rPr>
        <w:t>,</w:t>
      </w:r>
      <w:r w:rsidR="0024620B">
        <w:rPr>
          <w:rFonts w:ascii="Poppins" w:hAnsi="Poppins" w:cs="Poppins"/>
          <w:sz w:val="18"/>
          <w:szCs w:val="18"/>
        </w:rPr>
        <w:t>41</w:t>
      </w:r>
      <w:r w:rsidR="00640D73">
        <w:rPr>
          <w:rFonts w:ascii="Poppins" w:hAnsi="Poppins" w:cs="Poppins"/>
          <w:sz w:val="18"/>
          <w:szCs w:val="18"/>
        </w:rPr>
        <w:t xml:space="preserve"> </w:t>
      </w:r>
      <w:r w:rsidR="00465772" w:rsidRPr="00A01E92">
        <w:rPr>
          <w:rFonts w:ascii="Poppins" w:hAnsi="Poppins" w:cs="Poppins"/>
          <w:sz w:val="18"/>
          <w:szCs w:val="18"/>
        </w:rPr>
        <w:t>S/</w:t>
      </w:r>
      <w:proofErr w:type="spellStart"/>
      <w:r w:rsidR="00465772" w:rsidRPr="00A01E92">
        <w:rPr>
          <w:rFonts w:ascii="Poppins" w:hAnsi="Poppins" w:cs="Poppins"/>
          <w:sz w:val="18"/>
          <w:szCs w:val="18"/>
        </w:rPr>
        <w:t>Gln</w:t>
      </w:r>
      <w:proofErr w:type="spellEnd"/>
      <w:r w:rsidR="00465772" w:rsidRPr="00A01E92">
        <w:rPr>
          <w:rFonts w:ascii="Poppins" w:hAnsi="Poppins" w:cs="Poppins"/>
          <w:sz w:val="18"/>
          <w:szCs w:val="18"/>
        </w:rPr>
        <w:t>)</w:t>
      </w:r>
      <w:r w:rsidR="00BC45B5" w:rsidRPr="00A01E92">
        <w:rPr>
          <w:rFonts w:ascii="Poppins" w:hAnsi="Poppins" w:cs="Poppins"/>
          <w:sz w:val="18"/>
          <w:szCs w:val="18"/>
        </w:rPr>
        <w:t xml:space="preserve">, </w:t>
      </w:r>
      <w:proofErr w:type="spellStart"/>
      <w:r w:rsidR="00845353" w:rsidRPr="00A01E92">
        <w:rPr>
          <w:rFonts w:ascii="Poppins" w:hAnsi="Poppins" w:cs="Poppins"/>
          <w:sz w:val="18"/>
          <w:szCs w:val="18"/>
        </w:rPr>
        <w:t>Gasohol</w:t>
      </w:r>
      <w:proofErr w:type="spellEnd"/>
      <w:r w:rsidR="00845353" w:rsidRPr="00A01E92">
        <w:rPr>
          <w:rFonts w:ascii="Poppins" w:hAnsi="Poppins" w:cs="Poppins"/>
          <w:sz w:val="18"/>
          <w:szCs w:val="18"/>
        </w:rPr>
        <w:t xml:space="preserve"> </w:t>
      </w:r>
      <w:r w:rsidR="00845353">
        <w:rPr>
          <w:rFonts w:ascii="Poppins" w:hAnsi="Poppins" w:cs="Poppins"/>
          <w:sz w:val="18"/>
          <w:szCs w:val="18"/>
        </w:rPr>
        <w:t>Premium</w:t>
      </w:r>
      <w:r w:rsidR="00845353" w:rsidRPr="00A01E92">
        <w:rPr>
          <w:rFonts w:ascii="Poppins" w:hAnsi="Poppins" w:cs="Poppins"/>
          <w:sz w:val="18"/>
          <w:szCs w:val="18"/>
        </w:rPr>
        <w:t xml:space="preserve"> (</w:t>
      </w:r>
      <w:r w:rsidR="0024620B">
        <w:rPr>
          <w:rFonts w:ascii="Poppins" w:hAnsi="Poppins" w:cs="Poppins"/>
          <w:sz w:val="18"/>
          <w:szCs w:val="18"/>
        </w:rPr>
        <w:t>+</w:t>
      </w:r>
      <w:r w:rsidR="00E56210">
        <w:rPr>
          <w:rFonts w:ascii="Poppins" w:hAnsi="Poppins" w:cs="Poppins"/>
          <w:sz w:val="18"/>
          <w:szCs w:val="18"/>
        </w:rPr>
        <w:t>0</w:t>
      </w:r>
      <w:r w:rsidR="00845353" w:rsidRPr="00A01E92">
        <w:rPr>
          <w:rFonts w:ascii="Poppins" w:hAnsi="Poppins" w:cs="Poppins"/>
          <w:sz w:val="18"/>
          <w:szCs w:val="18"/>
        </w:rPr>
        <w:t>,</w:t>
      </w:r>
      <w:r w:rsidR="0024620B">
        <w:rPr>
          <w:rFonts w:ascii="Poppins" w:hAnsi="Poppins" w:cs="Poppins"/>
          <w:sz w:val="18"/>
          <w:szCs w:val="18"/>
        </w:rPr>
        <w:t>18</w:t>
      </w:r>
      <w:r w:rsidR="00845353" w:rsidRPr="00A01E92">
        <w:rPr>
          <w:rFonts w:ascii="Poppins" w:hAnsi="Poppins" w:cs="Poppins"/>
          <w:sz w:val="18"/>
          <w:szCs w:val="18"/>
        </w:rPr>
        <w:t xml:space="preserve"> S/</w:t>
      </w:r>
      <w:proofErr w:type="spellStart"/>
      <w:r w:rsidR="00845353" w:rsidRPr="00A01E92">
        <w:rPr>
          <w:rFonts w:ascii="Poppins" w:hAnsi="Poppins" w:cs="Poppins"/>
          <w:sz w:val="18"/>
          <w:szCs w:val="18"/>
        </w:rPr>
        <w:t>Gln</w:t>
      </w:r>
      <w:proofErr w:type="spellEnd"/>
      <w:r w:rsidR="00845353" w:rsidRPr="00A01E92">
        <w:rPr>
          <w:rFonts w:ascii="Poppins" w:hAnsi="Poppins" w:cs="Poppins"/>
          <w:sz w:val="18"/>
          <w:szCs w:val="18"/>
        </w:rPr>
        <w:t>)</w:t>
      </w:r>
      <w:r w:rsidR="00845353">
        <w:rPr>
          <w:rFonts w:ascii="Poppins" w:hAnsi="Poppins" w:cs="Poppins"/>
          <w:sz w:val="18"/>
          <w:szCs w:val="18"/>
        </w:rPr>
        <w:t xml:space="preserve">, </w:t>
      </w:r>
      <w:proofErr w:type="spellStart"/>
      <w:r w:rsidR="00A01E92" w:rsidRPr="00A01E92">
        <w:rPr>
          <w:rFonts w:ascii="Poppins" w:hAnsi="Poppins" w:cs="Poppins"/>
          <w:sz w:val="18"/>
          <w:szCs w:val="18"/>
        </w:rPr>
        <w:t>Gasohol</w:t>
      </w:r>
      <w:proofErr w:type="spellEnd"/>
      <w:r w:rsidR="00A01E92" w:rsidRPr="00A01E92">
        <w:rPr>
          <w:rFonts w:ascii="Poppins" w:hAnsi="Poppins" w:cs="Poppins"/>
          <w:sz w:val="18"/>
          <w:szCs w:val="18"/>
        </w:rPr>
        <w:t xml:space="preserve"> Regular </w:t>
      </w:r>
      <w:r w:rsidR="009E32BE">
        <w:rPr>
          <w:rFonts w:ascii="Poppins" w:hAnsi="Poppins" w:cs="Poppins"/>
          <w:sz w:val="18"/>
          <w:szCs w:val="18"/>
        </w:rPr>
        <w:t xml:space="preserve">                        </w:t>
      </w:r>
      <w:proofErr w:type="gramStart"/>
      <w:r w:rsidR="009E32BE">
        <w:rPr>
          <w:rFonts w:ascii="Poppins" w:hAnsi="Poppins" w:cs="Poppins"/>
          <w:sz w:val="18"/>
          <w:szCs w:val="18"/>
        </w:rPr>
        <w:t xml:space="preserve">   </w:t>
      </w:r>
      <w:r w:rsidR="00A01E92" w:rsidRPr="00A01E92">
        <w:rPr>
          <w:rFonts w:ascii="Poppins" w:hAnsi="Poppins" w:cs="Poppins"/>
          <w:sz w:val="18"/>
          <w:szCs w:val="18"/>
        </w:rPr>
        <w:t>(</w:t>
      </w:r>
      <w:proofErr w:type="gramEnd"/>
      <w:r w:rsidR="0024620B">
        <w:rPr>
          <w:rFonts w:ascii="Poppins" w:hAnsi="Poppins" w:cs="Poppins"/>
          <w:sz w:val="18"/>
          <w:szCs w:val="18"/>
        </w:rPr>
        <w:t>+</w:t>
      </w:r>
      <w:r w:rsidR="00E56210">
        <w:rPr>
          <w:rFonts w:ascii="Poppins" w:hAnsi="Poppins" w:cs="Poppins"/>
          <w:sz w:val="18"/>
          <w:szCs w:val="18"/>
        </w:rPr>
        <w:t>0</w:t>
      </w:r>
      <w:r w:rsidR="00626502">
        <w:rPr>
          <w:rFonts w:ascii="Poppins" w:hAnsi="Poppins" w:cs="Poppins"/>
          <w:sz w:val="18"/>
          <w:szCs w:val="18"/>
        </w:rPr>
        <w:t>,</w:t>
      </w:r>
      <w:r w:rsidR="0033361B">
        <w:rPr>
          <w:rFonts w:ascii="Poppins" w:hAnsi="Poppins" w:cs="Poppins"/>
          <w:sz w:val="18"/>
          <w:szCs w:val="18"/>
        </w:rPr>
        <w:t>4</w:t>
      </w:r>
      <w:r w:rsidR="0024620B">
        <w:rPr>
          <w:rFonts w:ascii="Poppins" w:hAnsi="Poppins" w:cs="Poppins"/>
          <w:sz w:val="18"/>
          <w:szCs w:val="18"/>
        </w:rPr>
        <w:t>2</w:t>
      </w:r>
      <w:r w:rsidR="00626502">
        <w:rPr>
          <w:rFonts w:ascii="Poppins" w:hAnsi="Poppins" w:cs="Poppins"/>
          <w:sz w:val="18"/>
          <w:szCs w:val="18"/>
        </w:rPr>
        <w:t> </w:t>
      </w:r>
      <w:r w:rsidR="00A01E92" w:rsidRPr="00A01E92">
        <w:rPr>
          <w:rFonts w:ascii="Poppins" w:hAnsi="Poppins" w:cs="Poppins"/>
          <w:sz w:val="18"/>
          <w:szCs w:val="18"/>
        </w:rPr>
        <w:t>S/</w:t>
      </w:r>
      <w:proofErr w:type="spellStart"/>
      <w:r w:rsidR="00A01E92" w:rsidRPr="00A01E92">
        <w:rPr>
          <w:rFonts w:ascii="Poppins" w:hAnsi="Poppins" w:cs="Poppins"/>
          <w:sz w:val="18"/>
          <w:szCs w:val="18"/>
        </w:rPr>
        <w:t>Gln</w:t>
      </w:r>
      <w:proofErr w:type="spellEnd"/>
      <w:r w:rsidR="00A01E92" w:rsidRPr="00A01E92">
        <w:rPr>
          <w:rFonts w:ascii="Poppins" w:hAnsi="Poppins" w:cs="Poppins"/>
          <w:sz w:val="18"/>
          <w:szCs w:val="18"/>
        </w:rPr>
        <w:t>)</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33361B">
        <w:rPr>
          <w:rFonts w:ascii="Poppins" w:hAnsi="Poppins" w:cs="Poppins"/>
          <w:sz w:val="18"/>
          <w:szCs w:val="18"/>
        </w:rPr>
        <w:t>+</w:t>
      </w:r>
      <w:r w:rsidR="009E32BE">
        <w:rPr>
          <w:rFonts w:ascii="Poppins" w:hAnsi="Poppins" w:cs="Poppins"/>
          <w:sz w:val="18"/>
          <w:szCs w:val="18"/>
        </w:rPr>
        <w:t>0</w:t>
      </w:r>
      <w:r w:rsidR="00B66A52" w:rsidRPr="00A01E92">
        <w:rPr>
          <w:rFonts w:ascii="Poppins" w:hAnsi="Poppins" w:cs="Poppins"/>
          <w:sz w:val="18"/>
          <w:szCs w:val="18"/>
        </w:rPr>
        <w:t>,</w:t>
      </w:r>
      <w:r w:rsidR="0024620B">
        <w:rPr>
          <w:rFonts w:ascii="Poppins" w:hAnsi="Poppins" w:cs="Poppins"/>
          <w:sz w:val="18"/>
          <w:szCs w:val="18"/>
        </w:rPr>
        <w:t>50</w:t>
      </w:r>
      <w:r w:rsidR="00B66A52" w:rsidRPr="00A01E92">
        <w:rPr>
          <w:rFonts w:ascii="Poppins" w:hAnsi="Poppins" w:cs="Poppins"/>
          <w:sz w:val="18"/>
          <w:szCs w:val="18"/>
        </w:rPr>
        <w:t xml:space="preserve"> S/</w:t>
      </w:r>
      <w:proofErr w:type="spellStart"/>
      <w:r w:rsidR="00B66A52" w:rsidRPr="00A01E92">
        <w:rPr>
          <w:rFonts w:ascii="Poppins" w:hAnsi="Poppins" w:cs="Poppins"/>
          <w:sz w:val="18"/>
          <w:szCs w:val="18"/>
        </w:rPr>
        <w:t>Gln</w:t>
      </w:r>
      <w:proofErr w:type="spellEnd"/>
      <w:r w:rsidR="00B66A52" w:rsidRPr="00A01E92">
        <w:rPr>
          <w:rFonts w:ascii="Poppins" w:hAnsi="Poppins" w:cs="Poppins"/>
          <w:sz w:val="18"/>
          <w:szCs w:val="18"/>
        </w:rPr>
        <w:t>)</w:t>
      </w:r>
      <w:r w:rsidR="009E32BE">
        <w:rPr>
          <w:rFonts w:ascii="Poppins" w:hAnsi="Poppins" w:cs="Poppins"/>
          <w:sz w:val="18"/>
          <w:szCs w:val="18"/>
        </w:rPr>
        <w:t>,</w:t>
      </w:r>
      <w:r w:rsidR="000869FB">
        <w:rPr>
          <w:rFonts w:ascii="Poppins" w:hAnsi="Poppins" w:cs="Poppins"/>
          <w:sz w:val="18"/>
          <w:szCs w:val="18"/>
        </w:rPr>
        <w:t xml:space="preserve"> </w:t>
      </w:r>
      <w:r w:rsidR="00B66A52">
        <w:rPr>
          <w:rFonts w:ascii="Poppins" w:hAnsi="Poppins" w:cs="Poppins"/>
          <w:sz w:val="18"/>
          <w:szCs w:val="18"/>
          <w:lang w:val="es-PE"/>
        </w:rPr>
        <w:t>Diesel B5 S-50</w:t>
      </w:r>
      <w:r w:rsidR="00B66A52" w:rsidRPr="00A01E92">
        <w:rPr>
          <w:rFonts w:ascii="Poppins" w:hAnsi="Poppins" w:cs="Poppins"/>
          <w:sz w:val="18"/>
          <w:szCs w:val="18"/>
        </w:rPr>
        <w:t xml:space="preserve"> (</w:t>
      </w:r>
      <w:r w:rsidR="0033361B">
        <w:rPr>
          <w:rFonts w:ascii="Poppins" w:hAnsi="Poppins" w:cs="Poppins"/>
          <w:sz w:val="18"/>
          <w:szCs w:val="18"/>
        </w:rPr>
        <w:t>+</w:t>
      </w:r>
      <w:r w:rsidR="009E32BE">
        <w:rPr>
          <w:rFonts w:ascii="Poppins" w:hAnsi="Poppins" w:cs="Poppins"/>
          <w:sz w:val="18"/>
          <w:szCs w:val="18"/>
        </w:rPr>
        <w:t>0</w:t>
      </w:r>
      <w:r w:rsidR="00B66A52" w:rsidRPr="00A01E92">
        <w:rPr>
          <w:rFonts w:ascii="Poppins" w:hAnsi="Poppins" w:cs="Poppins"/>
          <w:sz w:val="18"/>
          <w:szCs w:val="18"/>
        </w:rPr>
        <w:t>,</w:t>
      </w:r>
      <w:r w:rsidR="0024620B">
        <w:rPr>
          <w:rFonts w:ascii="Poppins" w:hAnsi="Poppins" w:cs="Poppins"/>
          <w:sz w:val="18"/>
          <w:szCs w:val="18"/>
        </w:rPr>
        <w:t>50</w:t>
      </w:r>
      <w:r w:rsidR="00B66A52" w:rsidRPr="00A01E92">
        <w:rPr>
          <w:rFonts w:ascii="Poppins" w:hAnsi="Poppins" w:cs="Poppins"/>
          <w:sz w:val="18"/>
          <w:szCs w:val="18"/>
        </w:rPr>
        <w:t xml:space="preserve"> S/Gln</w:t>
      </w:r>
      <w:r w:rsidR="00655A5E">
        <w:rPr>
          <w:rFonts w:ascii="Poppins" w:hAnsi="Poppins" w:cs="Poppins"/>
          <w:sz w:val="18"/>
          <w:szCs w:val="18"/>
        </w:rPr>
        <w:t>)</w:t>
      </w:r>
      <w:r w:rsidR="009E32BE">
        <w:rPr>
          <w:rFonts w:ascii="Poppins" w:hAnsi="Poppins" w:cs="Poppins"/>
          <w:sz w:val="18"/>
          <w:szCs w:val="18"/>
        </w:rPr>
        <w:t xml:space="preserve">, Petróleo Industrial </w:t>
      </w:r>
      <w:proofErr w:type="spellStart"/>
      <w:r w:rsidR="009E32BE">
        <w:rPr>
          <w:rFonts w:ascii="Poppins" w:hAnsi="Poppins" w:cs="Poppins"/>
          <w:sz w:val="18"/>
          <w:szCs w:val="18"/>
        </w:rPr>
        <w:t>N°</w:t>
      </w:r>
      <w:proofErr w:type="spellEnd"/>
      <w:r w:rsidR="00261C56">
        <w:rPr>
          <w:rFonts w:ascii="Poppins" w:hAnsi="Poppins" w:cs="Poppins"/>
          <w:sz w:val="18"/>
          <w:szCs w:val="18"/>
        </w:rPr>
        <w:t xml:space="preserve"> </w:t>
      </w:r>
      <w:r w:rsidR="009E32BE">
        <w:rPr>
          <w:rFonts w:ascii="Poppins" w:hAnsi="Poppins" w:cs="Poppins"/>
          <w:sz w:val="18"/>
          <w:szCs w:val="18"/>
        </w:rPr>
        <w:t xml:space="preserve">6 </w:t>
      </w:r>
      <w:r w:rsidR="009E32BE" w:rsidRPr="00A01E92">
        <w:rPr>
          <w:rFonts w:ascii="Poppins" w:hAnsi="Poppins" w:cs="Poppins"/>
          <w:sz w:val="18"/>
          <w:szCs w:val="18"/>
        </w:rPr>
        <w:t>(</w:t>
      </w:r>
      <w:r w:rsidR="0024620B">
        <w:rPr>
          <w:rFonts w:ascii="Poppins" w:hAnsi="Poppins" w:cs="Poppins"/>
          <w:sz w:val="18"/>
          <w:szCs w:val="18"/>
        </w:rPr>
        <w:t>-0,08</w:t>
      </w:r>
      <w:r w:rsidR="009E32BE" w:rsidRPr="00A01E92">
        <w:rPr>
          <w:rFonts w:ascii="Poppins" w:hAnsi="Poppins" w:cs="Poppins"/>
          <w:sz w:val="18"/>
          <w:szCs w:val="18"/>
        </w:rPr>
        <w:t xml:space="preserve"> S/</w:t>
      </w:r>
      <w:proofErr w:type="spellStart"/>
      <w:r w:rsidR="009E32BE" w:rsidRPr="00A01E92">
        <w:rPr>
          <w:rFonts w:ascii="Poppins" w:hAnsi="Poppins" w:cs="Poppins"/>
          <w:sz w:val="18"/>
          <w:szCs w:val="18"/>
        </w:rPr>
        <w:t>Gln</w:t>
      </w:r>
      <w:proofErr w:type="spellEnd"/>
      <w:r w:rsidR="009E32BE">
        <w:rPr>
          <w:rFonts w:ascii="Poppins" w:hAnsi="Poppins" w:cs="Poppins"/>
          <w:sz w:val="18"/>
          <w:szCs w:val="18"/>
        </w:rPr>
        <w:t xml:space="preserve">) y Petróleo Industrial </w:t>
      </w:r>
      <w:proofErr w:type="spellStart"/>
      <w:r w:rsidR="009E32BE">
        <w:rPr>
          <w:rFonts w:ascii="Poppins" w:hAnsi="Poppins" w:cs="Poppins"/>
          <w:sz w:val="18"/>
          <w:szCs w:val="18"/>
        </w:rPr>
        <w:t>N°</w:t>
      </w:r>
      <w:proofErr w:type="spellEnd"/>
      <w:r w:rsidR="00261C56">
        <w:rPr>
          <w:rFonts w:ascii="Poppins" w:hAnsi="Poppins" w:cs="Poppins"/>
          <w:sz w:val="18"/>
          <w:szCs w:val="18"/>
        </w:rPr>
        <w:t xml:space="preserve"> </w:t>
      </w:r>
      <w:r w:rsidR="009E32BE">
        <w:rPr>
          <w:rFonts w:ascii="Poppins" w:hAnsi="Poppins" w:cs="Poppins"/>
          <w:sz w:val="18"/>
          <w:szCs w:val="18"/>
        </w:rPr>
        <w:t>500</w:t>
      </w:r>
      <w:r w:rsidR="009E32BE" w:rsidRPr="00A01E92">
        <w:rPr>
          <w:rFonts w:ascii="Poppins" w:hAnsi="Poppins" w:cs="Poppins"/>
          <w:sz w:val="18"/>
          <w:szCs w:val="18"/>
        </w:rPr>
        <w:t xml:space="preserve"> (</w:t>
      </w:r>
      <w:r w:rsidR="0024620B">
        <w:rPr>
          <w:rFonts w:ascii="Poppins" w:hAnsi="Poppins" w:cs="Poppins"/>
          <w:sz w:val="18"/>
          <w:szCs w:val="18"/>
        </w:rPr>
        <w:t>-0,08</w:t>
      </w:r>
      <w:r w:rsidR="0024620B">
        <w:rPr>
          <w:rFonts w:ascii="Poppins" w:hAnsi="Poppins" w:cs="Poppins"/>
          <w:sz w:val="18"/>
          <w:szCs w:val="18"/>
        </w:rPr>
        <w:t xml:space="preserve"> </w:t>
      </w:r>
      <w:r w:rsidR="009E32BE" w:rsidRPr="00A01E92">
        <w:rPr>
          <w:rFonts w:ascii="Poppins" w:hAnsi="Poppins" w:cs="Poppins"/>
          <w:sz w:val="18"/>
          <w:szCs w:val="18"/>
        </w:rPr>
        <w:t>S/</w:t>
      </w:r>
      <w:proofErr w:type="spellStart"/>
      <w:r w:rsidR="009E32BE" w:rsidRPr="00A01E92">
        <w:rPr>
          <w:rFonts w:ascii="Poppins" w:hAnsi="Poppins" w:cs="Poppins"/>
          <w:sz w:val="18"/>
          <w:szCs w:val="18"/>
        </w:rPr>
        <w:t>Gln</w:t>
      </w:r>
      <w:proofErr w:type="spellEnd"/>
      <w:r w:rsidR="009E32BE">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6A442450" w14:textId="77777777" w:rsidR="00B44B9F" w:rsidRDefault="00B44B9F" w:rsidP="00B44B9F">
      <w:pPr>
        <w:pStyle w:val="Prrafodelista"/>
        <w:rPr>
          <w:rFonts w:ascii="Poppins" w:hAnsi="Poppins" w:cs="Poppins"/>
          <w:sz w:val="18"/>
          <w:szCs w:val="18"/>
        </w:rPr>
      </w:pPr>
    </w:p>
    <w:p w14:paraId="69EAA837" w14:textId="77777777" w:rsidR="00B44B9F" w:rsidRDefault="00B44B9F" w:rsidP="00B44B9F">
      <w:pPr>
        <w:pStyle w:val="Sangradetextonormal"/>
        <w:rPr>
          <w:rFonts w:ascii="Poppins" w:hAnsi="Poppins" w:cs="Poppins"/>
          <w:sz w:val="18"/>
          <w:szCs w:val="18"/>
        </w:rPr>
      </w:pPr>
    </w:p>
    <w:p w14:paraId="40FE6432" w14:textId="77777777" w:rsidR="00B44B9F" w:rsidRDefault="00B44B9F" w:rsidP="00B44B9F">
      <w:pPr>
        <w:pStyle w:val="Sangradetextonormal"/>
        <w:rPr>
          <w:rFonts w:ascii="Poppins" w:hAnsi="Poppins" w:cs="Poppins"/>
          <w:sz w:val="18"/>
          <w:szCs w:val="18"/>
        </w:rPr>
      </w:pPr>
    </w:p>
    <w:p w14:paraId="6BB24148" w14:textId="77777777" w:rsidR="00B44B9F" w:rsidRDefault="00B44B9F" w:rsidP="00B44B9F">
      <w:pPr>
        <w:pStyle w:val="Sangradetextonormal"/>
        <w:rPr>
          <w:rFonts w:ascii="Poppins" w:hAnsi="Poppins" w:cs="Poppins"/>
          <w:sz w:val="18"/>
          <w:szCs w:val="18"/>
        </w:rPr>
      </w:pPr>
    </w:p>
    <w:p w14:paraId="1F4EACF8" w14:textId="77777777" w:rsidR="00B44B9F" w:rsidRDefault="00B44B9F" w:rsidP="00B44B9F">
      <w:pPr>
        <w:pStyle w:val="Sangradetextonormal"/>
        <w:rPr>
          <w:rFonts w:ascii="Poppins" w:hAnsi="Poppins" w:cs="Poppins"/>
          <w:sz w:val="18"/>
          <w:szCs w:val="18"/>
        </w:rPr>
      </w:pPr>
    </w:p>
    <w:p w14:paraId="63168D75" w14:textId="77777777" w:rsidR="00B44B9F" w:rsidRDefault="00B44B9F" w:rsidP="00B44B9F">
      <w:pPr>
        <w:pStyle w:val="Sangradetextonormal"/>
        <w:rPr>
          <w:rFonts w:ascii="Poppins" w:hAnsi="Poppins" w:cs="Poppins"/>
          <w:sz w:val="18"/>
          <w:szCs w:val="18"/>
        </w:rPr>
      </w:pPr>
    </w:p>
    <w:p w14:paraId="1E88A49E" w14:textId="77777777" w:rsidR="00B44B9F" w:rsidRDefault="00B44B9F" w:rsidP="00B44B9F">
      <w:pPr>
        <w:pStyle w:val="Sangradetextonormal"/>
        <w:rPr>
          <w:rFonts w:ascii="Poppins" w:hAnsi="Poppins" w:cs="Poppins"/>
          <w:sz w:val="18"/>
          <w:szCs w:val="18"/>
        </w:rPr>
      </w:pPr>
    </w:p>
    <w:p w14:paraId="1402070D" w14:textId="77777777" w:rsidR="00B44B9F" w:rsidRDefault="00B44B9F" w:rsidP="00B44B9F">
      <w:pPr>
        <w:pStyle w:val="Sangradetextonormal"/>
        <w:rPr>
          <w:rFonts w:ascii="Poppins" w:hAnsi="Poppins" w:cs="Poppins"/>
          <w:sz w:val="18"/>
          <w:szCs w:val="18"/>
        </w:rPr>
      </w:pPr>
    </w:p>
    <w:p w14:paraId="09C1C3B8" w14:textId="77777777" w:rsidR="00B44B9F" w:rsidRDefault="00B44B9F" w:rsidP="00B44B9F">
      <w:pPr>
        <w:pStyle w:val="Sangradetextonormal"/>
        <w:rPr>
          <w:rFonts w:ascii="Poppins" w:hAnsi="Poppins" w:cs="Poppins"/>
          <w:sz w:val="18"/>
          <w:szCs w:val="18"/>
        </w:rPr>
      </w:pPr>
    </w:p>
    <w:p w14:paraId="289EC8C9" w14:textId="77777777" w:rsidR="00B44B9F" w:rsidRDefault="00B44B9F" w:rsidP="00B44B9F">
      <w:pPr>
        <w:pStyle w:val="Sangradetextonormal"/>
        <w:rPr>
          <w:rFonts w:ascii="Poppins" w:hAnsi="Poppins" w:cs="Poppins"/>
          <w:sz w:val="18"/>
          <w:szCs w:val="18"/>
        </w:rPr>
      </w:pPr>
    </w:p>
    <w:p w14:paraId="30ECE998" w14:textId="77777777" w:rsidR="00B44B9F" w:rsidRDefault="00B44B9F" w:rsidP="00B44B9F">
      <w:pPr>
        <w:pStyle w:val="Sangradetextonormal"/>
        <w:rPr>
          <w:rFonts w:ascii="Poppins" w:hAnsi="Poppins" w:cs="Poppins"/>
          <w:sz w:val="18"/>
          <w:szCs w:val="18"/>
        </w:rPr>
      </w:pPr>
    </w:p>
    <w:p w14:paraId="69E2FFA3" w14:textId="77777777" w:rsidR="00B44B9F" w:rsidRDefault="00B44B9F" w:rsidP="00B44B9F">
      <w:pPr>
        <w:pStyle w:val="Sangradetextonormal"/>
        <w:rPr>
          <w:rFonts w:ascii="Poppins" w:hAnsi="Poppins" w:cs="Poppins"/>
          <w:sz w:val="18"/>
          <w:szCs w:val="18"/>
        </w:rPr>
      </w:pPr>
    </w:p>
    <w:p w14:paraId="7D081114" w14:textId="77777777" w:rsidR="00B44B9F" w:rsidRDefault="00B44B9F" w:rsidP="00B44B9F">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6846038B" w14:textId="77777777" w:rsidR="00D629D1" w:rsidRDefault="00D629D1" w:rsidP="00313709">
      <w:pPr>
        <w:jc w:val="both"/>
        <w:rPr>
          <w:rFonts w:ascii="Poppins" w:hAnsi="Poppins" w:cs="Poppins"/>
          <w:sz w:val="18"/>
          <w:szCs w:val="18"/>
        </w:rPr>
      </w:pPr>
    </w:p>
    <w:p w14:paraId="46D7122F" w14:textId="77777777" w:rsidR="00D629D1" w:rsidRDefault="00D629D1" w:rsidP="00313709">
      <w:pPr>
        <w:jc w:val="both"/>
        <w:rPr>
          <w:rFonts w:ascii="Poppins" w:hAnsi="Poppins" w:cs="Poppins"/>
          <w:sz w:val="18"/>
          <w:szCs w:val="18"/>
        </w:rPr>
      </w:pPr>
    </w:p>
    <w:p w14:paraId="3A859763" w14:textId="77777777" w:rsidR="00D629D1" w:rsidRDefault="00D629D1"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100877BE"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8037EE">
        <w:rPr>
          <w:rFonts w:ascii="Poppins" w:hAnsi="Poppins" w:cs="Poppins"/>
          <w:sz w:val="18"/>
          <w:szCs w:val="18"/>
        </w:rPr>
        <w:t>01</w:t>
      </w:r>
      <w:r w:rsidR="00E7305B">
        <w:rPr>
          <w:rFonts w:ascii="Poppins" w:hAnsi="Poppins" w:cs="Poppins"/>
          <w:sz w:val="18"/>
          <w:szCs w:val="18"/>
        </w:rPr>
        <w:t>/</w:t>
      </w:r>
      <w:r w:rsidR="006B489A">
        <w:rPr>
          <w:rFonts w:ascii="Poppins" w:hAnsi="Poppins" w:cs="Poppins"/>
          <w:sz w:val="18"/>
          <w:szCs w:val="18"/>
        </w:rPr>
        <w:t>0</w:t>
      </w:r>
      <w:r w:rsidR="008037EE">
        <w:rPr>
          <w:rFonts w:ascii="Poppins" w:hAnsi="Poppins" w:cs="Poppins"/>
          <w:sz w:val="18"/>
          <w:szCs w:val="18"/>
        </w:rPr>
        <w:t>6</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8037EE">
        <w:rPr>
          <w:rFonts w:ascii="Poppins" w:hAnsi="Poppins" w:cs="Poppins"/>
          <w:sz w:val="18"/>
          <w:szCs w:val="18"/>
        </w:rPr>
        <w:t>12</w:t>
      </w:r>
      <w:r w:rsidR="00336251" w:rsidRPr="0096213B">
        <w:rPr>
          <w:rFonts w:ascii="Poppins" w:hAnsi="Poppins" w:cs="Poppins"/>
          <w:sz w:val="18"/>
          <w:szCs w:val="18"/>
        </w:rPr>
        <w:t>/</w:t>
      </w:r>
      <w:r w:rsidR="005151B0">
        <w:rPr>
          <w:rFonts w:ascii="Poppins" w:hAnsi="Poppins" w:cs="Poppins"/>
          <w:sz w:val="18"/>
          <w:szCs w:val="18"/>
        </w:rPr>
        <w:t>0</w:t>
      </w:r>
      <w:r w:rsidR="00322939">
        <w:rPr>
          <w:rFonts w:ascii="Poppins" w:hAnsi="Poppins" w:cs="Poppins"/>
          <w:sz w:val="18"/>
          <w:szCs w:val="18"/>
        </w:rPr>
        <w:t>6</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28394E56"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8A1CB9">
        <w:rPr>
          <w:rFonts w:ascii="Poppins" w:hAnsi="Poppins" w:cs="Poppins"/>
          <w:b/>
          <w:bCs/>
          <w:i/>
          <w:sz w:val="18"/>
          <w:szCs w:val="18"/>
          <w:lang w:eastAsia="es-PE"/>
        </w:rPr>
        <w:t>15</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017259">
        <w:rPr>
          <w:rFonts w:ascii="Poppins" w:hAnsi="Poppins" w:cs="Poppins"/>
          <w:b/>
          <w:bCs/>
          <w:i/>
          <w:sz w:val="18"/>
          <w:szCs w:val="18"/>
          <w:lang w:eastAsia="es-PE"/>
        </w:rPr>
        <w:t>6</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0D8E87B1" w:rsidR="00A86191" w:rsidRPr="0096213B" w:rsidRDefault="008A1CB9"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34E9DCC4" wp14:editId="3D0F0617">
            <wp:extent cx="5518800" cy="2998800"/>
            <wp:effectExtent l="0" t="0" r="5715" b="0"/>
            <wp:docPr id="805437563" name="Imagen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18800" cy="2998800"/>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56B1BE2D"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322939">
        <w:rPr>
          <w:rFonts w:ascii="Poppins" w:hAnsi="Poppins" w:cs="Poppins"/>
          <w:sz w:val="18"/>
          <w:szCs w:val="18"/>
        </w:rPr>
        <w:t>2</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530DC3">
        <w:rPr>
          <w:rFonts w:ascii="Poppins" w:hAnsi="Poppins" w:cs="Poppins"/>
          <w:sz w:val="18"/>
          <w:szCs w:val="18"/>
        </w:rPr>
        <w:t>0</w:t>
      </w:r>
      <w:r w:rsidR="00893F38" w:rsidRPr="0096213B">
        <w:rPr>
          <w:rFonts w:ascii="Poppins" w:hAnsi="Poppins" w:cs="Poppins"/>
          <w:sz w:val="18"/>
          <w:szCs w:val="18"/>
        </w:rPr>
        <w:t xml:space="preserve">% y </w:t>
      </w:r>
      <w:r w:rsidRPr="0096213B">
        <w:rPr>
          <w:rFonts w:ascii="Poppins" w:hAnsi="Poppins" w:cs="Poppins"/>
          <w:sz w:val="18"/>
          <w:szCs w:val="18"/>
        </w:rPr>
        <w:t>9</w:t>
      </w:r>
      <w:r w:rsidR="00C21362">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84650">
        <w:rPr>
          <w:rFonts w:ascii="Poppins" w:hAnsi="Poppins" w:cs="Poppins"/>
          <w:sz w:val="18"/>
          <w:szCs w:val="18"/>
        </w:rPr>
        <w:t>8</w:t>
      </w:r>
      <w:r w:rsidR="003D242A">
        <w:rPr>
          <w:rFonts w:ascii="Poppins" w:hAnsi="Poppins" w:cs="Poppins"/>
          <w:sz w:val="18"/>
          <w:szCs w:val="18"/>
        </w:rPr>
        <w:t>7</w:t>
      </w:r>
      <w:r w:rsidR="00282C40">
        <w:rPr>
          <w:rFonts w:ascii="Poppins" w:hAnsi="Poppins" w:cs="Poppins"/>
          <w:sz w:val="18"/>
          <w:szCs w:val="18"/>
        </w:rPr>
        <w:t>%</w:t>
      </w:r>
      <w:r w:rsidR="003118C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530DC3">
        <w:rPr>
          <w:rFonts w:ascii="Poppins" w:hAnsi="Poppins" w:cs="Poppins"/>
          <w:sz w:val="18"/>
          <w:szCs w:val="18"/>
        </w:rPr>
        <w:t>87</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72C5BD24" w14:textId="51D527F5"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530DC3">
        <w:rPr>
          <w:rFonts w:ascii="Poppins" w:hAnsi="Poppins" w:cs="Poppins"/>
          <w:sz w:val="18"/>
          <w:szCs w:val="18"/>
        </w:rPr>
        <w:t>15</w:t>
      </w:r>
      <w:r w:rsidR="00F07057">
        <w:rPr>
          <w:rFonts w:ascii="Poppins" w:hAnsi="Poppins" w:cs="Poppins"/>
          <w:sz w:val="18"/>
          <w:szCs w:val="18"/>
        </w:rPr>
        <w:t xml:space="preserve"> </w:t>
      </w:r>
      <w:r w:rsidRPr="0096213B">
        <w:rPr>
          <w:rFonts w:ascii="Poppins" w:hAnsi="Poppins" w:cs="Poppins"/>
          <w:sz w:val="18"/>
          <w:szCs w:val="18"/>
        </w:rPr>
        <w:t xml:space="preserve">de </w:t>
      </w:r>
      <w:r w:rsidR="00690895">
        <w:rPr>
          <w:rFonts w:ascii="Poppins" w:hAnsi="Poppins" w:cs="Poppins"/>
          <w:sz w:val="18"/>
          <w:szCs w:val="18"/>
        </w:rPr>
        <w:t>junio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460FBBC3"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8C49F0">
        <w:rPr>
          <w:rFonts w:ascii="Poppins" w:hAnsi="Poppins" w:cs="Poppins"/>
          <w:sz w:val="18"/>
          <w:szCs w:val="18"/>
        </w:rPr>
        <w:t>5,16</w:t>
      </w:r>
      <w:r w:rsidR="00A33C99" w:rsidRPr="0096213B">
        <w:rPr>
          <w:rFonts w:ascii="Poppins" w:hAnsi="Poppins" w:cs="Poppins"/>
          <w:sz w:val="18"/>
          <w:szCs w:val="18"/>
        </w:rPr>
        <w:t xml:space="preserve"> cent$/galón equivalente a </w:t>
      </w:r>
      <w:r w:rsidR="00322939">
        <w:rPr>
          <w:rFonts w:ascii="Poppins" w:hAnsi="Poppins" w:cs="Poppins"/>
          <w:sz w:val="18"/>
          <w:szCs w:val="18"/>
        </w:rPr>
        <w:t>2,</w:t>
      </w:r>
      <w:r w:rsidR="008C49F0">
        <w:rPr>
          <w:rFonts w:ascii="Poppins" w:hAnsi="Poppins" w:cs="Poppins"/>
          <w:sz w:val="18"/>
          <w:szCs w:val="18"/>
        </w:rPr>
        <w:t>17</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322939">
        <w:rPr>
          <w:rFonts w:ascii="Poppins" w:hAnsi="Poppins" w:cs="Poppins"/>
          <w:sz w:val="18"/>
          <w:szCs w:val="18"/>
        </w:rPr>
        <w:t>.</w:t>
      </w:r>
    </w:p>
    <w:p w14:paraId="6ADD84E1" w14:textId="77777777" w:rsidR="00E60C43" w:rsidRPr="00856B3C" w:rsidRDefault="00E60C43" w:rsidP="00E812D9">
      <w:pPr>
        <w:pStyle w:val="Prrafodelista"/>
        <w:ind w:left="426" w:hanging="426"/>
        <w:jc w:val="center"/>
        <w:rPr>
          <w:rFonts w:ascii="Poppins" w:hAnsi="Poppins" w:cs="Poppins"/>
          <w:sz w:val="18"/>
          <w:szCs w:val="18"/>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7B236403"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w:t>
      </w:r>
      <w:r w:rsidRPr="00DC7F41">
        <w:rPr>
          <w:rFonts w:ascii="Poppins" w:hAnsi="Poppins" w:cs="Poppins"/>
          <w:sz w:val="18"/>
          <w:szCs w:val="18"/>
        </w:rPr>
        <w:t xml:space="preserve">a </w:t>
      </w:r>
      <w:r w:rsidR="008F4B7A" w:rsidRPr="00DC7F41">
        <w:rPr>
          <w:rFonts w:ascii="Poppins" w:hAnsi="Poppins" w:cs="Poppins"/>
          <w:sz w:val="18"/>
          <w:szCs w:val="18"/>
        </w:rPr>
        <w:t>1</w:t>
      </w:r>
      <w:r w:rsidR="00901532" w:rsidRPr="00DC7F41">
        <w:rPr>
          <w:rFonts w:ascii="Poppins" w:hAnsi="Poppins" w:cs="Poppins"/>
          <w:sz w:val="18"/>
          <w:szCs w:val="18"/>
        </w:rPr>
        <w:t>5</w:t>
      </w:r>
      <w:r w:rsidR="00E0028D" w:rsidRPr="00DC7F41">
        <w:rPr>
          <w:rFonts w:ascii="Poppins" w:hAnsi="Poppins" w:cs="Poppins"/>
          <w:sz w:val="18"/>
          <w:szCs w:val="18"/>
        </w:rPr>
        <w:t>,</w:t>
      </w:r>
      <w:r w:rsidR="006404C2" w:rsidRPr="00DC7F41">
        <w:rPr>
          <w:rFonts w:ascii="Poppins" w:hAnsi="Poppins" w:cs="Poppins"/>
          <w:sz w:val="18"/>
          <w:szCs w:val="18"/>
        </w:rPr>
        <w:t>55</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0065994B"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w:t>
      </w:r>
      <w:r w:rsidR="00901532">
        <w:rPr>
          <w:rFonts w:ascii="Poppins" w:hAnsi="Poppins" w:cs="Poppins"/>
          <w:sz w:val="18"/>
          <w:szCs w:val="18"/>
        </w:rPr>
        <w:t>0,9</w:t>
      </w:r>
      <w:r w:rsidR="00275958">
        <w:rPr>
          <w:rFonts w:ascii="Poppins" w:hAnsi="Poppins" w:cs="Poppins"/>
          <w:sz w:val="18"/>
          <w:szCs w:val="18"/>
        </w:rPr>
        <w:t>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937A88">
        <w:rPr>
          <w:rFonts w:ascii="Poppins" w:hAnsi="Poppins" w:cs="Poppins"/>
          <w:sz w:val="18"/>
          <w:szCs w:val="18"/>
        </w:rPr>
        <w:t>-</w:t>
      </w:r>
      <w:r w:rsidR="00C41992">
        <w:rPr>
          <w:rFonts w:ascii="Poppins" w:hAnsi="Poppins" w:cs="Poppins"/>
          <w:sz w:val="18"/>
          <w:szCs w:val="18"/>
        </w:rPr>
        <w:t>0</w:t>
      </w:r>
      <w:r w:rsidR="00513E2B" w:rsidRPr="0096213B">
        <w:rPr>
          <w:rFonts w:ascii="Poppins" w:hAnsi="Poppins" w:cs="Poppins"/>
          <w:sz w:val="18"/>
          <w:szCs w:val="18"/>
        </w:rPr>
        <w:t>,</w:t>
      </w:r>
      <w:r w:rsidR="00901532">
        <w:rPr>
          <w:rFonts w:ascii="Poppins" w:hAnsi="Poppins" w:cs="Poppins"/>
          <w:sz w:val="18"/>
          <w:szCs w:val="18"/>
        </w:rPr>
        <w:t>8</w:t>
      </w:r>
      <w:r w:rsidR="00275958">
        <w:rPr>
          <w:rFonts w:ascii="Poppins" w:hAnsi="Poppins" w:cs="Poppins"/>
          <w:sz w:val="18"/>
          <w:szCs w:val="18"/>
        </w:rPr>
        <w:t>2</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74FAE1E3"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3F2A3A">
        <w:rPr>
          <w:rFonts w:ascii="Poppins" w:hAnsi="Poppins" w:cs="Poppins"/>
          <w:sz w:val="18"/>
          <w:szCs w:val="18"/>
        </w:rPr>
        <w:t>1,</w:t>
      </w:r>
      <w:r w:rsidR="00275958">
        <w:rPr>
          <w:rFonts w:ascii="Poppins" w:hAnsi="Poppins" w:cs="Poppins"/>
          <w:sz w:val="18"/>
          <w:szCs w:val="18"/>
        </w:rPr>
        <w:t>79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275958">
        <w:rPr>
          <w:rFonts w:ascii="Poppins" w:hAnsi="Poppins" w:cs="Poppins"/>
          <w:sz w:val="18"/>
          <w:szCs w:val="18"/>
        </w:rPr>
        <w:t>9,65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723F4221"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w:t>
      </w:r>
      <w:r w:rsidRPr="00DC7F41">
        <w:rPr>
          <w:rFonts w:ascii="Poppins" w:hAnsi="Poppins" w:cs="Poppins"/>
          <w:sz w:val="18"/>
          <w:szCs w:val="18"/>
        </w:rPr>
        <w:t xml:space="preserve">asciende a </w:t>
      </w:r>
      <w:r w:rsidR="008106C7" w:rsidRPr="00DC7F41">
        <w:rPr>
          <w:rFonts w:ascii="Poppins" w:hAnsi="Poppins" w:cs="Poppins"/>
          <w:sz w:val="18"/>
          <w:szCs w:val="18"/>
        </w:rPr>
        <w:t>1</w:t>
      </w:r>
      <w:r w:rsidR="00901532" w:rsidRPr="00DC7F41">
        <w:rPr>
          <w:rFonts w:ascii="Poppins" w:hAnsi="Poppins" w:cs="Poppins"/>
          <w:sz w:val="18"/>
          <w:szCs w:val="18"/>
        </w:rPr>
        <w:t>5</w:t>
      </w:r>
      <w:r w:rsidR="00110925" w:rsidRPr="00DC7F41">
        <w:rPr>
          <w:rFonts w:ascii="Poppins" w:hAnsi="Poppins" w:cs="Poppins"/>
          <w:sz w:val="18"/>
          <w:szCs w:val="18"/>
        </w:rPr>
        <w:t>,</w:t>
      </w:r>
      <w:r w:rsidR="006404C2" w:rsidRPr="00DC7F41">
        <w:rPr>
          <w:rFonts w:ascii="Poppins" w:hAnsi="Poppins" w:cs="Poppins"/>
          <w:sz w:val="18"/>
          <w:szCs w:val="18"/>
        </w:rPr>
        <w:t>55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5D572CB0"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860350">
        <w:rPr>
          <w:rFonts w:ascii="Poppins" w:hAnsi="Poppins" w:cs="Poppins"/>
          <w:bCs/>
          <w:sz w:val="18"/>
          <w:szCs w:val="18"/>
        </w:rPr>
        <w:t>4</w:t>
      </w:r>
      <w:r w:rsidRPr="004C5B09">
        <w:rPr>
          <w:rFonts w:ascii="Poppins" w:hAnsi="Poppins" w:cs="Poppins"/>
          <w:bCs/>
          <w:sz w:val="18"/>
          <w:szCs w:val="18"/>
        </w:rPr>
        <w:t>,</w:t>
      </w:r>
      <w:r w:rsidR="00275958">
        <w:rPr>
          <w:rFonts w:ascii="Poppins" w:hAnsi="Poppins" w:cs="Poppins"/>
          <w:bCs/>
          <w:sz w:val="18"/>
          <w:szCs w:val="18"/>
        </w:rPr>
        <w:t>52</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67DBB2FE"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3F2A3A">
        <w:rPr>
          <w:rFonts w:ascii="Poppins" w:hAnsi="Poppins" w:cs="Poppins"/>
          <w:sz w:val="18"/>
          <w:szCs w:val="18"/>
        </w:rPr>
        <w:t>2,</w:t>
      </w:r>
      <w:r w:rsidR="00275958">
        <w:rPr>
          <w:rFonts w:ascii="Poppins" w:hAnsi="Poppins" w:cs="Poppins"/>
          <w:sz w:val="18"/>
          <w:szCs w:val="18"/>
        </w:rPr>
        <w:t>71</w:t>
      </w:r>
      <w:r w:rsidR="00BF1449">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FB2B44A" w14:textId="1AC1DD4F" w:rsidR="002F2231"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w:t>
      </w:r>
      <w:r w:rsidR="00F061DA">
        <w:rPr>
          <w:rFonts w:ascii="Poppins" w:hAnsi="Poppins" w:cs="Poppins"/>
          <w:sz w:val="18"/>
          <w:szCs w:val="18"/>
          <w:lang w:eastAsia="en-US"/>
        </w:rPr>
        <w:t>seis (0</w:t>
      </w:r>
      <w:r w:rsidR="00BB1705" w:rsidRPr="0096213B">
        <w:rPr>
          <w:rFonts w:ascii="Poppins" w:hAnsi="Poppins" w:cs="Poppins"/>
          <w:sz w:val="18"/>
          <w:szCs w:val="18"/>
          <w:lang w:eastAsia="en-US"/>
        </w:rPr>
        <w:t>6</w:t>
      </w:r>
      <w:r w:rsidR="00F061DA">
        <w:rPr>
          <w:rFonts w:ascii="Poppins" w:hAnsi="Poppins" w:cs="Poppins"/>
          <w:sz w:val="18"/>
          <w:szCs w:val="18"/>
          <w:lang w:eastAsia="en-US"/>
        </w:rPr>
        <w:t>)</w:t>
      </w:r>
      <w:r w:rsidR="00BB1705" w:rsidRPr="0096213B">
        <w:rPr>
          <w:rFonts w:ascii="Poppins" w:hAnsi="Poppins" w:cs="Poppins"/>
          <w:sz w:val="18"/>
          <w:szCs w:val="18"/>
          <w:lang w:eastAsia="en-US"/>
        </w:rPr>
        <w:t xml:space="preserve"> días de demora</w:t>
      </w:r>
      <w:r w:rsidR="00CD6A33">
        <w:rPr>
          <w:rFonts w:ascii="Poppins" w:hAnsi="Poppins" w:cs="Poppins"/>
          <w:sz w:val="18"/>
          <w:szCs w:val="18"/>
          <w:lang w:eastAsia="en-US"/>
        </w:rPr>
        <w:t>.</w:t>
      </w:r>
    </w:p>
    <w:p w14:paraId="5F88850C" w14:textId="77777777" w:rsidR="002F2231" w:rsidRDefault="002F2231" w:rsidP="00BB1705">
      <w:pPr>
        <w:jc w:val="both"/>
        <w:rPr>
          <w:rFonts w:ascii="Poppins" w:hAnsi="Poppins" w:cs="Poppins"/>
          <w:sz w:val="18"/>
          <w:szCs w:val="18"/>
          <w:lang w:eastAsia="en-US"/>
        </w:rPr>
      </w:pPr>
    </w:p>
    <w:p w14:paraId="4B2634A3" w14:textId="50EB5E73" w:rsidR="00CD6A33" w:rsidRDefault="00CD6A33" w:rsidP="004F74EE">
      <w:pPr>
        <w:jc w:val="both"/>
        <w:rPr>
          <w:rFonts w:ascii="Poppins" w:hAnsi="Poppins" w:cs="Poppins"/>
          <w:sz w:val="18"/>
          <w:szCs w:val="18"/>
          <w:u w:val="single"/>
          <w:lang w:eastAsia="en-US"/>
        </w:rPr>
      </w:pPr>
      <w:r w:rsidRPr="00CD6A33">
        <w:rPr>
          <w:rFonts w:ascii="Poppins" w:hAnsi="Poppins" w:cs="Poppins"/>
          <w:sz w:val="18"/>
          <w:szCs w:val="18"/>
          <w:lang w:eastAsia="en-US"/>
        </w:rPr>
        <w:t>En ese contexto, considerando que las demoras reportadas superaron el umbral desde l</w:t>
      </w:r>
      <w:r w:rsidR="00064C00">
        <w:rPr>
          <w:rFonts w:ascii="Poppins" w:hAnsi="Poppins" w:cs="Poppins"/>
          <w:sz w:val="18"/>
          <w:szCs w:val="18"/>
          <w:lang w:eastAsia="en-US"/>
        </w:rPr>
        <w:t>as cotizaciones del 01</w:t>
      </w:r>
      <w:r w:rsidRPr="00CD6A33">
        <w:rPr>
          <w:rFonts w:ascii="Poppins" w:hAnsi="Poppins" w:cs="Poppins"/>
          <w:sz w:val="18"/>
          <w:szCs w:val="18"/>
          <w:lang w:eastAsia="en-US"/>
        </w:rPr>
        <w:t xml:space="preserve"> hasta el 5 de junio consideradas en el presente reporte, los valores de flete utilizados para la presente semana incorporan, según corresponda a cada periodo diario, el costo por demora reportado por Argus o el costo asociado a la priorización del cruce por el Canal de Panamá mediante subastas. Como resultado, los costos considerados ascienden a 1,</w:t>
      </w:r>
      <w:r w:rsidR="00064C00">
        <w:rPr>
          <w:rFonts w:ascii="Poppins" w:hAnsi="Poppins" w:cs="Poppins"/>
          <w:sz w:val="18"/>
          <w:szCs w:val="18"/>
          <w:lang w:eastAsia="en-US"/>
        </w:rPr>
        <w:t>60</w:t>
      </w:r>
      <w:r w:rsidRPr="00CD6A33">
        <w:rPr>
          <w:rFonts w:ascii="Poppins" w:hAnsi="Poppins" w:cs="Poppins"/>
          <w:sz w:val="18"/>
          <w:szCs w:val="18"/>
          <w:lang w:eastAsia="en-US"/>
        </w:rPr>
        <w:t xml:space="preserve"> US$/</w:t>
      </w:r>
      <w:proofErr w:type="spellStart"/>
      <w:r w:rsidRPr="00CD6A33">
        <w:rPr>
          <w:rFonts w:ascii="Poppins" w:hAnsi="Poppins" w:cs="Poppins"/>
          <w:sz w:val="18"/>
          <w:szCs w:val="18"/>
          <w:lang w:eastAsia="en-US"/>
        </w:rPr>
        <w:t>Bl</w:t>
      </w:r>
      <w:proofErr w:type="spellEnd"/>
      <w:r w:rsidRPr="00CD6A33">
        <w:rPr>
          <w:rFonts w:ascii="Poppins" w:hAnsi="Poppins" w:cs="Poppins"/>
          <w:sz w:val="18"/>
          <w:szCs w:val="18"/>
          <w:lang w:eastAsia="en-US"/>
        </w:rPr>
        <w:t xml:space="preserve"> para el GLP, 0,7</w:t>
      </w:r>
      <w:r w:rsidR="00064C00">
        <w:rPr>
          <w:rFonts w:ascii="Poppins" w:hAnsi="Poppins" w:cs="Poppins"/>
          <w:sz w:val="18"/>
          <w:szCs w:val="18"/>
          <w:lang w:eastAsia="en-US"/>
        </w:rPr>
        <w:t>6</w:t>
      </w:r>
      <w:r w:rsidRPr="00CD6A33">
        <w:rPr>
          <w:rFonts w:ascii="Poppins" w:hAnsi="Poppins" w:cs="Poppins"/>
          <w:sz w:val="18"/>
          <w:szCs w:val="18"/>
          <w:lang w:eastAsia="en-US"/>
        </w:rPr>
        <w:t xml:space="preserve"> US$/</w:t>
      </w:r>
      <w:proofErr w:type="spellStart"/>
      <w:r w:rsidRPr="00CD6A33">
        <w:rPr>
          <w:rFonts w:ascii="Poppins" w:hAnsi="Poppins" w:cs="Poppins"/>
          <w:sz w:val="18"/>
          <w:szCs w:val="18"/>
          <w:lang w:eastAsia="en-US"/>
        </w:rPr>
        <w:t>Bl</w:t>
      </w:r>
      <w:proofErr w:type="spellEnd"/>
      <w:r w:rsidRPr="00CD6A33">
        <w:rPr>
          <w:rFonts w:ascii="Poppins" w:hAnsi="Poppins" w:cs="Poppins"/>
          <w:sz w:val="18"/>
          <w:szCs w:val="18"/>
          <w:lang w:eastAsia="en-US"/>
        </w:rPr>
        <w:t xml:space="preserve"> para las gasolinas y 0,7</w:t>
      </w:r>
      <w:r w:rsidR="00064C00">
        <w:rPr>
          <w:rFonts w:ascii="Poppins" w:hAnsi="Poppins" w:cs="Poppins"/>
          <w:sz w:val="18"/>
          <w:szCs w:val="18"/>
          <w:lang w:eastAsia="en-US"/>
        </w:rPr>
        <w:t>6</w:t>
      </w:r>
      <w:r w:rsidRPr="00CD6A33">
        <w:rPr>
          <w:rFonts w:ascii="Poppins" w:hAnsi="Poppins" w:cs="Poppins"/>
          <w:sz w:val="18"/>
          <w:szCs w:val="18"/>
          <w:lang w:eastAsia="en-US"/>
        </w:rPr>
        <w:t xml:space="preserve"> US$/</w:t>
      </w:r>
      <w:proofErr w:type="spellStart"/>
      <w:r w:rsidRPr="00CD6A33">
        <w:rPr>
          <w:rFonts w:ascii="Poppins" w:hAnsi="Poppins" w:cs="Poppins"/>
          <w:sz w:val="18"/>
          <w:szCs w:val="18"/>
          <w:lang w:eastAsia="en-US"/>
        </w:rPr>
        <w:t>Bl</w:t>
      </w:r>
      <w:proofErr w:type="spellEnd"/>
      <w:r w:rsidRPr="00CD6A33">
        <w:rPr>
          <w:rFonts w:ascii="Poppins" w:hAnsi="Poppins" w:cs="Poppins"/>
          <w:sz w:val="18"/>
          <w:szCs w:val="18"/>
          <w:lang w:eastAsia="en-US"/>
        </w:rPr>
        <w:t xml:space="preserve"> para el Diésel y el Turbo.</w:t>
      </w:r>
    </w:p>
    <w:p w14:paraId="019AA8DB" w14:textId="77777777" w:rsidR="00CD6A33" w:rsidRPr="0096213B" w:rsidRDefault="00CD6A33"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05B4035A"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8106C7">
        <w:rPr>
          <w:rFonts w:ascii="Poppins" w:hAnsi="Poppins" w:cs="Poppins"/>
          <w:sz w:val="18"/>
          <w:szCs w:val="18"/>
          <w:lang w:eastAsia="en-US"/>
        </w:rPr>
        <w:t>7</w:t>
      </w:r>
      <w:r w:rsidR="009E085E" w:rsidRPr="0096213B">
        <w:rPr>
          <w:rFonts w:ascii="Poppins" w:hAnsi="Poppins" w:cs="Poppins"/>
          <w:sz w:val="18"/>
          <w:szCs w:val="18"/>
          <w:lang w:eastAsia="en-US"/>
        </w:rPr>
        <w:t>,</w:t>
      </w:r>
      <w:r w:rsidR="00634875">
        <w:rPr>
          <w:rFonts w:ascii="Poppins" w:hAnsi="Poppins" w:cs="Poppins"/>
          <w:sz w:val="18"/>
          <w:szCs w:val="18"/>
          <w:lang w:eastAsia="en-US"/>
        </w:rPr>
        <w:t>9</w:t>
      </w:r>
      <w:r w:rsidR="008106C7">
        <w:rPr>
          <w:rFonts w:ascii="Poppins" w:hAnsi="Poppins" w:cs="Poppins"/>
          <w:sz w:val="18"/>
          <w:szCs w:val="18"/>
          <w:lang w:eastAsia="en-US"/>
        </w:rPr>
        <w:t>9</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6"/>
          <w:footerReference w:type="default" r:id="rId17"/>
          <w:headerReference w:type="first" r:id="rId18"/>
          <w:footerReference w:type="first" r:id="rId19"/>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CellMar>
          <w:left w:w="70" w:type="dxa"/>
          <w:right w:w="70" w:type="dxa"/>
        </w:tblCellMar>
        <w:tblLook w:val="04A0" w:firstRow="1" w:lastRow="0" w:firstColumn="1" w:lastColumn="0" w:noHBand="0" w:noVBand="1"/>
      </w:tblPr>
      <w:tblGrid>
        <w:gridCol w:w="13467"/>
      </w:tblGrid>
      <w:tr w:rsidR="00352553" w:rsidRPr="0096213B" w14:paraId="701E2A94" w14:textId="77777777" w:rsidTr="00206148">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5528BD38" w:rsidR="006B489A" w:rsidRPr="00206148" w:rsidRDefault="0076591B" w:rsidP="00352553">
            <w:pPr>
              <w:rPr>
                <w:rFonts w:ascii="Poppins" w:hAnsi="Poppins" w:cs="Poppins"/>
                <w:i/>
                <w:iCs/>
                <w:sz w:val="14"/>
                <w:szCs w:val="14"/>
                <w:lang w:eastAsia="en-US"/>
              </w:rPr>
            </w:pPr>
            <w:r w:rsidRPr="0076591B">
              <w:rPr>
                <w:rFonts w:ascii="Poppins" w:hAnsi="Poppins" w:cs="Poppins"/>
                <w:i/>
                <w:iCs/>
                <w:sz w:val="14"/>
                <w:szCs w:val="14"/>
                <w:lang w:val="es-MX" w:eastAsia="en-US"/>
              </w:rPr>
              <w:t xml:space="preserve"> </w:t>
            </w:r>
            <w:r w:rsidR="00206148">
              <w:rPr>
                <w:noProof/>
              </w:rPr>
              <w:drawing>
                <wp:inline distT="0" distB="0" distL="0" distR="0" wp14:anchorId="16F0018F" wp14:editId="1F537135">
                  <wp:extent cx="8215200" cy="3045600"/>
                  <wp:effectExtent l="0" t="0" r="0" b="2540"/>
                  <wp:docPr id="2" name="Imagen 1">
                    <a:extLst xmlns:a="http://schemas.openxmlformats.org/drawingml/2006/main">
                      <a:ext uri="{FF2B5EF4-FFF2-40B4-BE49-F238E27FC236}">
                        <a16:creationId xmlns:a16="http://schemas.microsoft.com/office/drawing/2014/main" id="{DFF6D45C-410B-12DD-7F3C-D9FBBB4E29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DFF6D45C-410B-12DD-7F3C-D9FBBB4E296F}"/>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215200" cy="3045600"/>
                          </a:xfrm>
                          <a:prstGeom prst="rect">
                            <a:avLst/>
                          </a:prstGeom>
                          <a:noFill/>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blPrEx>
          <w:tblCellMar>
            <w:left w:w="108" w:type="dxa"/>
            <w:right w:w="108" w:type="dxa"/>
          </w:tblCellMar>
        </w:tblPrEx>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1"/>
          <w:headerReference w:type="first" r:id="rId22"/>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A587E">
        <w:trPr>
          <w:trHeight w:val="4509"/>
        </w:trPr>
        <w:tc>
          <w:tcPr>
            <w:tcW w:w="5758" w:type="dxa"/>
            <w:tcBorders>
              <w:top w:val="single" w:sz="4" w:space="0" w:color="auto"/>
              <w:bottom w:val="single" w:sz="4" w:space="0" w:color="auto"/>
            </w:tcBorders>
          </w:tcPr>
          <w:p w14:paraId="5FE1CE67" w14:textId="4871F4C2" w:rsidR="000F7442" w:rsidRPr="0096213B" w:rsidRDefault="009A587E" w:rsidP="000F7442">
            <w:pPr>
              <w:jc w:val="center"/>
              <w:rPr>
                <w:rFonts w:ascii="Poppins" w:hAnsi="Poppins" w:cs="Poppins"/>
                <w:sz w:val="8"/>
                <w:szCs w:val="20"/>
              </w:rPr>
            </w:pPr>
            <w:r>
              <w:rPr>
                <w:noProof/>
              </w:rPr>
              <w:drawing>
                <wp:inline distT="0" distB="0" distL="0" distR="0" wp14:anchorId="56C79410" wp14:editId="61E4B3C1">
                  <wp:extent cx="3567430" cy="2851064"/>
                  <wp:effectExtent l="0" t="0" r="0" b="6985"/>
                  <wp:docPr id="985854248" name="Imagen 1">
                    <a:extLst xmlns:a="http://schemas.openxmlformats.org/drawingml/2006/main">
                      <a:ext uri="{FF2B5EF4-FFF2-40B4-BE49-F238E27FC236}">
                        <a16:creationId xmlns:a16="http://schemas.microsoft.com/office/drawing/2014/main" id="{19FFF7A2-6B2F-78AA-B377-E63EAF44AF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19FFF7A2-6B2F-78AA-B377-E63EAF44AF0C}"/>
                              </a:ext>
                            </a:extLs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70349" cy="2853396"/>
                          </a:xfrm>
                          <a:prstGeom prst="rect">
                            <a:avLst/>
                          </a:prstGeom>
                          <a:noFill/>
                        </pic:spPr>
                      </pic:pic>
                    </a:graphicData>
                  </a:graphic>
                </wp:inline>
              </w:drawing>
            </w:r>
          </w:p>
        </w:tc>
        <w:tc>
          <w:tcPr>
            <w:tcW w:w="188" w:type="dxa"/>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057F75">
        <w:trPr>
          <w:trHeight w:val="4418"/>
        </w:trPr>
        <w:tc>
          <w:tcPr>
            <w:tcW w:w="8347" w:type="dxa"/>
            <w:tcBorders>
              <w:top w:val="single" w:sz="4" w:space="0" w:color="auto"/>
              <w:bottom w:val="single" w:sz="4" w:space="0" w:color="auto"/>
            </w:tcBorders>
          </w:tcPr>
          <w:p w14:paraId="5F438E49" w14:textId="530092E7" w:rsidR="00EF3BE9" w:rsidRPr="0096213B" w:rsidRDefault="007063A3"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3E5CD9A8" wp14:editId="3289F0E2">
                  <wp:extent cx="5417389" cy="2767754"/>
                  <wp:effectExtent l="0" t="0" r="0" b="0"/>
                  <wp:docPr id="20150147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23626" cy="2770940"/>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469164B7" w:rsidR="00551F16" w:rsidRPr="0096213B" w:rsidRDefault="003A61AA"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3A61AA">
        <w:drawing>
          <wp:inline distT="0" distB="0" distL="0" distR="0" wp14:anchorId="63F6054F" wp14:editId="1EF0ACC6">
            <wp:extent cx="5666400" cy="2304000"/>
            <wp:effectExtent l="0" t="0" r="0" b="1270"/>
            <wp:docPr id="1589444680" name="Imagen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66400" cy="230400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681BBF03" w:rsidR="00F70B88" w:rsidRDefault="004A5A11" w:rsidP="00604758">
      <w:pPr>
        <w:spacing w:line="0" w:lineRule="atLeast"/>
        <w:ind w:right="-567"/>
        <w:jc w:val="both"/>
        <w:rPr>
          <w:rFonts w:ascii="Poppins" w:hAnsi="Poppins" w:cs="Poppins"/>
          <w:noProof/>
          <w:sz w:val="20"/>
          <w:szCs w:val="20"/>
        </w:rPr>
      </w:pPr>
      <w:r>
        <w:rPr>
          <w:noProof/>
        </w:rPr>
        <w:drawing>
          <wp:inline distT="0" distB="0" distL="0" distR="0" wp14:anchorId="0B7BBBB2" wp14:editId="29E1ED87">
            <wp:extent cx="5888101" cy="2374900"/>
            <wp:effectExtent l="0" t="0" r="0" b="6350"/>
            <wp:docPr id="303287114" name="Imagen 1">
              <a:extLst xmlns:a="http://schemas.openxmlformats.org/drawingml/2006/main">
                <a:ext uri="{FF2B5EF4-FFF2-40B4-BE49-F238E27FC236}">
                  <a16:creationId xmlns:a16="http://schemas.microsoft.com/office/drawing/2014/main" id="{E61F4F75-80DB-1DC8-024A-3528A6ACF7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E61F4F75-80DB-1DC8-024A-3528A6ACF769}"/>
                        </a:ext>
                      </a:extLst>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28191" cy="2391070"/>
                    </a:xfrm>
                    <a:prstGeom prst="rect">
                      <a:avLst/>
                    </a:prstGeom>
                    <a:noFill/>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159AC39D" w:rsidR="005207D4" w:rsidRPr="0096213B" w:rsidRDefault="004A5A11" w:rsidP="006220EA">
      <w:pPr>
        <w:rPr>
          <w:rFonts w:ascii="Poppins" w:hAnsi="Poppins" w:cs="Poppins"/>
          <w:i/>
          <w:sz w:val="14"/>
          <w:szCs w:val="14"/>
        </w:rPr>
      </w:pPr>
      <w:r w:rsidRPr="004A5A11">
        <w:drawing>
          <wp:inline distT="0" distB="0" distL="0" distR="0" wp14:anchorId="6A0F51EC" wp14:editId="2655AFC4">
            <wp:extent cx="5850000" cy="7470000"/>
            <wp:effectExtent l="0" t="0" r="0" b="0"/>
            <wp:docPr id="1165464914" name="Imagen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0000" cy="7470000"/>
                    </a:xfrm>
                    <a:prstGeom prst="rect">
                      <a:avLst/>
                    </a:prstGeom>
                    <a:noFill/>
                    <a:ln>
                      <a:noFill/>
                    </a:ln>
                  </pic:spPr>
                </pic:pic>
              </a:graphicData>
            </a:graphic>
          </wp:inline>
        </w:drawing>
      </w:r>
    </w:p>
    <w:p w14:paraId="6E7D3449" w14:textId="0D7EB79F"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0BA3481B" w:rsidR="005048C1" w:rsidRPr="0096213B" w:rsidRDefault="00F91202" w:rsidP="005048C1">
      <w:pPr>
        <w:jc w:val="both"/>
        <w:rPr>
          <w:rFonts w:ascii="Poppins" w:hAnsi="Poppins" w:cs="Poppins"/>
          <w:i/>
          <w:iCs/>
          <w:sz w:val="12"/>
          <w:szCs w:val="12"/>
        </w:rPr>
      </w:pPr>
      <w:r>
        <w:t xml:space="preserve">                       </w:t>
      </w:r>
      <w:r w:rsidR="004A5A11" w:rsidRPr="004A5A11">
        <w:drawing>
          <wp:inline distT="0" distB="0" distL="0" distR="0" wp14:anchorId="3639EAAC" wp14:editId="39071B10">
            <wp:extent cx="5641200" cy="6656400"/>
            <wp:effectExtent l="0" t="0" r="0" b="0"/>
            <wp:docPr id="1283213585"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41200" cy="665640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FADAE75" w14:textId="5F5034D9" w:rsidR="000F3B2C" w:rsidRDefault="000F3B2C" w:rsidP="00842A58">
      <w:pPr>
        <w:pStyle w:val="xl37"/>
        <w:tabs>
          <w:tab w:val="left" w:pos="180"/>
        </w:tabs>
        <w:spacing w:before="0" w:beforeAutospacing="0" w:after="0" w:afterAutospacing="0"/>
        <w:jc w:val="center"/>
        <w:rPr>
          <w:noProof/>
        </w:rPr>
      </w:pPr>
      <w:r>
        <w:rPr>
          <w:noProof/>
        </w:rPr>
        <w:drawing>
          <wp:inline distT="0" distB="0" distL="0" distR="0" wp14:anchorId="23084A2A" wp14:editId="716215FB">
            <wp:extent cx="4263901" cy="2952750"/>
            <wp:effectExtent l="0" t="0" r="3810" b="0"/>
            <wp:docPr id="9781321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132156" name=""/>
                    <pic:cNvPicPr/>
                  </pic:nvPicPr>
                  <pic:blipFill>
                    <a:blip r:embed="rId29"/>
                    <a:stretch>
                      <a:fillRect/>
                    </a:stretch>
                  </pic:blipFill>
                  <pic:spPr>
                    <a:xfrm>
                      <a:off x="0" y="0"/>
                      <a:ext cx="4291107" cy="2971590"/>
                    </a:xfrm>
                    <a:prstGeom prst="rect">
                      <a:avLst/>
                    </a:prstGeom>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174E169C" w:rsidR="001307B8" w:rsidRPr="00A149FB" w:rsidRDefault="000F3B2C" w:rsidP="009D455B">
      <w:pPr>
        <w:pStyle w:val="xl37"/>
        <w:tabs>
          <w:tab w:val="left" w:pos="180"/>
          <w:tab w:val="left" w:pos="1701"/>
        </w:tabs>
        <w:spacing w:before="0" w:beforeAutospacing="0" w:after="0" w:afterAutospacing="0"/>
        <w:jc w:val="center"/>
        <w:rPr>
          <w:rFonts w:asciiTheme="minorHAnsi" w:eastAsia="Times New Roman" w:hAnsiTheme="minorHAnsi" w:cstheme="minorHAnsi"/>
          <w:bCs w:val="0"/>
          <w:iCs/>
          <w:noProof/>
          <w:sz w:val="24"/>
          <w:szCs w:val="24"/>
        </w:rPr>
      </w:pPr>
      <w:r>
        <w:rPr>
          <w:noProof/>
        </w:rPr>
        <w:drawing>
          <wp:inline distT="0" distB="0" distL="0" distR="0" wp14:anchorId="29C6245B" wp14:editId="79580D98">
            <wp:extent cx="4076700" cy="2847893"/>
            <wp:effectExtent l="0" t="0" r="0" b="0"/>
            <wp:docPr id="4390037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03769" name=""/>
                    <pic:cNvPicPr/>
                  </pic:nvPicPr>
                  <pic:blipFill>
                    <a:blip r:embed="rId30"/>
                    <a:stretch>
                      <a:fillRect/>
                    </a:stretch>
                  </pic:blipFill>
                  <pic:spPr>
                    <a:xfrm>
                      <a:off x="0" y="0"/>
                      <a:ext cx="4094518" cy="2860340"/>
                    </a:xfrm>
                    <a:prstGeom prst="rect">
                      <a:avLst/>
                    </a:prstGeom>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71F4FA4D" w14:textId="2B8654FE" w:rsidR="006C0944" w:rsidRDefault="000F3B2C" w:rsidP="00373E46">
      <w:pPr>
        <w:pStyle w:val="xl37"/>
        <w:tabs>
          <w:tab w:val="left" w:pos="180"/>
        </w:tabs>
        <w:spacing w:before="0" w:beforeAutospacing="0" w:after="0" w:afterAutospacing="0"/>
        <w:jc w:val="center"/>
        <w:rPr>
          <w:noProof/>
        </w:rPr>
      </w:pPr>
      <w:r>
        <w:rPr>
          <w:noProof/>
        </w:rPr>
        <w:lastRenderedPageBreak/>
        <w:drawing>
          <wp:inline distT="0" distB="0" distL="0" distR="0" wp14:anchorId="5B775469" wp14:editId="557B8122">
            <wp:extent cx="4490085" cy="3170790"/>
            <wp:effectExtent l="0" t="0" r="5715" b="0"/>
            <wp:docPr id="12535704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570410" name=""/>
                    <pic:cNvPicPr/>
                  </pic:nvPicPr>
                  <pic:blipFill>
                    <a:blip r:embed="rId31"/>
                    <a:stretch>
                      <a:fillRect/>
                    </a:stretch>
                  </pic:blipFill>
                  <pic:spPr>
                    <a:xfrm>
                      <a:off x="0" y="0"/>
                      <a:ext cx="4503571" cy="3180314"/>
                    </a:xfrm>
                    <a:prstGeom prst="rect">
                      <a:avLst/>
                    </a:prstGeom>
                  </pic:spPr>
                </pic:pic>
              </a:graphicData>
            </a:graphic>
          </wp:inline>
        </w:drawing>
      </w: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79DB15D6" w:rsidR="00A62725" w:rsidRDefault="00A62725" w:rsidP="00BF0E9E">
      <w:pPr>
        <w:pStyle w:val="xl37"/>
        <w:tabs>
          <w:tab w:val="left" w:pos="180"/>
          <w:tab w:val="left" w:pos="1560"/>
          <w:tab w:val="left" w:pos="8222"/>
        </w:tabs>
        <w:spacing w:before="0" w:beforeAutospacing="0" w:after="0" w:afterAutospacing="0"/>
        <w:jc w:val="center"/>
        <w:rPr>
          <w:noProof/>
        </w:rPr>
      </w:pPr>
    </w:p>
    <w:p w14:paraId="64E19BB7" w14:textId="77777777" w:rsidR="009D455B" w:rsidRDefault="009D455B" w:rsidP="00BF0E9E">
      <w:pPr>
        <w:pStyle w:val="xl37"/>
        <w:tabs>
          <w:tab w:val="left" w:pos="180"/>
          <w:tab w:val="left" w:pos="1560"/>
          <w:tab w:val="left" w:pos="8222"/>
        </w:tabs>
        <w:spacing w:before="0" w:beforeAutospacing="0" w:after="0" w:afterAutospacing="0"/>
        <w:jc w:val="center"/>
        <w:rPr>
          <w:noProof/>
        </w:rPr>
      </w:pPr>
    </w:p>
    <w:p w14:paraId="38B2F0A8" w14:textId="525F5062" w:rsidR="00356BB0" w:rsidRDefault="00356BB0" w:rsidP="009D455B">
      <w:pPr>
        <w:pStyle w:val="xl37"/>
        <w:tabs>
          <w:tab w:val="left" w:pos="180"/>
        </w:tabs>
        <w:spacing w:before="0" w:beforeAutospacing="0" w:after="0" w:afterAutospacing="0"/>
        <w:jc w:val="center"/>
        <w:rPr>
          <w:noProof/>
        </w:rPr>
      </w:pPr>
    </w:p>
    <w:p w14:paraId="49C23B04" w14:textId="54A2213B" w:rsidR="00356BB0" w:rsidRDefault="000F3B2C" w:rsidP="00BF0E9E">
      <w:pPr>
        <w:pStyle w:val="xl37"/>
        <w:tabs>
          <w:tab w:val="left" w:pos="180"/>
          <w:tab w:val="left" w:pos="1560"/>
          <w:tab w:val="left" w:pos="8222"/>
        </w:tabs>
        <w:spacing w:before="0" w:beforeAutospacing="0" w:after="0" w:afterAutospacing="0"/>
        <w:jc w:val="center"/>
        <w:rPr>
          <w:noProof/>
        </w:rPr>
      </w:pPr>
      <w:r>
        <w:rPr>
          <w:noProof/>
        </w:rPr>
        <w:drawing>
          <wp:inline distT="0" distB="0" distL="0" distR="0" wp14:anchorId="6AE1A56E" wp14:editId="3D9F2A1F">
            <wp:extent cx="4425950" cy="3051998"/>
            <wp:effectExtent l="0" t="0" r="0" b="0"/>
            <wp:docPr id="4720536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053680" name=""/>
                    <pic:cNvPicPr/>
                  </pic:nvPicPr>
                  <pic:blipFill>
                    <a:blip r:embed="rId32"/>
                    <a:stretch>
                      <a:fillRect/>
                    </a:stretch>
                  </pic:blipFill>
                  <pic:spPr>
                    <a:xfrm>
                      <a:off x="0" y="0"/>
                      <a:ext cx="4436875" cy="3059531"/>
                    </a:xfrm>
                    <a:prstGeom prst="rect">
                      <a:avLst/>
                    </a:prstGeom>
                  </pic:spPr>
                </pic:pic>
              </a:graphicData>
            </a:graphic>
          </wp:inline>
        </w:drawing>
      </w: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29127B7D" w:rsidR="00300FA6" w:rsidRDefault="00300FA6" w:rsidP="00373E46">
      <w:pPr>
        <w:pStyle w:val="xl37"/>
        <w:tabs>
          <w:tab w:val="left" w:pos="180"/>
        </w:tabs>
        <w:spacing w:before="0" w:beforeAutospacing="0" w:after="0" w:afterAutospacing="0"/>
        <w:jc w:val="center"/>
        <w:rPr>
          <w:noProof/>
        </w:rPr>
      </w:pPr>
    </w:p>
    <w:p w14:paraId="451830C5" w14:textId="393F0B02" w:rsidR="00C6055B" w:rsidRDefault="00C6055B" w:rsidP="00373E46">
      <w:pPr>
        <w:pStyle w:val="xl37"/>
        <w:tabs>
          <w:tab w:val="left" w:pos="180"/>
        </w:tabs>
        <w:spacing w:before="0" w:beforeAutospacing="0" w:after="0" w:afterAutospacing="0"/>
        <w:jc w:val="center"/>
        <w:rPr>
          <w:noProof/>
        </w:rPr>
      </w:pPr>
    </w:p>
    <w:p w14:paraId="42963095" w14:textId="16D28A57" w:rsidR="00C6055B" w:rsidRDefault="00C6055B" w:rsidP="00373E46">
      <w:pPr>
        <w:pStyle w:val="xl37"/>
        <w:tabs>
          <w:tab w:val="left" w:pos="180"/>
        </w:tabs>
        <w:spacing w:before="0" w:beforeAutospacing="0" w:after="0" w:afterAutospacing="0"/>
        <w:jc w:val="center"/>
        <w:rPr>
          <w:noProof/>
        </w:rPr>
      </w:pPr>
    </w:p>
    <w:p w14:paraId="2611E6A7" w14:textId="17CA4D3E" w:rsidR="00C6055B" w:rsidRDefault="00C6055B" w:rsidP="00373E46">
      <w:pPr>
        <w:pStyle w:val="xl37"/>
        <w:tabs>
          <w:tab w:val="left" w:pos="180"/>
        </w:tabs>
        <w:spacing w:before="0" w:beforeAutospacing="0" w:after="0" w:afterAutospacing="0"/>
        <w:jc w:val="center"/>
        <w:rPr>
          <w:noProof/>
        </w:rPr>
      </w:pPr>
    </w:p>
    <w:p w14:paraId="4701FC52" w14:textId="41594CFF" w:rsidR="00C6055B" w:rsidRDefault="00C6055B" w:rsidP="00373E46">
      <w:pPr>
        <w:pStyle w:val="xl37"/>
        <w:tabs>
          <w:tab w:val="left" w:pos="180"/>
        </w:tabs>
        <w:spacing w:before="0" w:beforeAutospacing="0" w:after="0" w:afterAutospacing="0"/>
        <w:jc w:val="center"/>
        <w:rPr>
          <w:noProof/>
        </w:rPr>
      </w:pPr>
    </w:p>
    <w:p w14:paraId="19EBB0E6" w14:textId="77777777" w:rsidR="00C6055B" w:rsidRDefault="00C6055B"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proofErr w:type="gramStart"/>
      <w:r w:rsidRPr="0096213B">
        <w:rPr>
          <w:rFonts w:ascii="Poppins" w:hAnsi="Poppins" w:cs="Poppins"/>
          <w:b/>
          <w:bCs/>
          <w:i/>
          <w:iCs/>
          <w:sz w:val="12"/>
          <w:szCs w:val="12"/>
        </w:rPr>
        <w:t>Mayor información</w:t>
      </w:r>
      <w:proofErr w:type="gramEnd"/>
      <w:r w:rsidRPr="0096213B">
        <w:rPr>
          <w:rFonts w:ascii="Poppins" w:hAnsi="Poppins" w:cs="Poppins"/>
          <w:b/>
          <w:bCs/>
          <w:i/>
          <w:iCs/>
          <w:sz w:val="12"/>
          <w:szCs w:val="12"/>
        </w:rPr>
        <w:t xml:space="preserve"> sobre los criterios metodológicos se puede encontrar en la siguiente dirección web:</w:t>
      </w:r>
    </w:p>
    <w:p w14:paraId="039D5F43" w14:textId="77777777" w:rsidR="00CA3C87" w:rsidRPr="0096213B" w:rsidRDefault="00CA3C87" w:rsidP="00CA3C87">
      <w:pPr>
        <w:rPr>
          <w:rFonts w:ascii="Poppins" w:hAnsi="Poppins" w:cs="Poppins"/>
          <w:b/>
          <w:bCs/>
          <w:i/>
          <w:iCs/>
          <w:sz w:val="12"/>
          <w:szCs w:val="12"/>
        </w:rPr>
      </w:pPr>
      <w:hyperlink r:id="rId35" w:history="1">
        <w:r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6"/>
      <w:footerReference w:type="default" r:id="rId37"/>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C016DC" w14:textId="77777777" w:rsidR="0089182D" w:rsidRDefault="0089182D" w:rsidP="006502B5">
      <w:r>
        <w:separator/>
      </w:r>
    </w:p>
  </w:endnote>
  <w:endnote w:type="continuationSeparator" w:id="0">
    <w:p w14:paraId="200C24AF" w14:textId="77777777" w:rsidR="0089182D" w:rsidRDefault="0089182D"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B03A22" w14:textId="77777777" w:rsidR="0089182D" w:rsidRDefault="0089182D" w:rsidP="006502B5">
      <w:r>
        <w:separator/>
      </w:r>
    </w:p>
  </w:footnote>
  <w:footnote w:type="continuationSeparator" w:id="0">
    <w:p w14:paraId="58114760" w14:textId="77777777" w:rsidR="0089182D" w:rsidRDefault="0089182D"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55708FBD"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C66DE">
            <w:rPr>
              <w:rFonts w:ascii="Poppins" w:hAnsi="Poppins" w:cs="Poppins"/>
              <w:b/>
              <w:sz w:val="22"/>
              <w:szCs w:val="22"/>
              <w:lang w:val="it-IT"/>
            </w:rPr>
            <w:t>2</w:t>
          </w:r>
          <w:r w:rsidR="00AB08AA">
            <w:rPr>
              <w:rFonts w:ascii="Poppins" w:hAnsi="Poppins" w:cs="Poppins"/>
              <w:b/>
              <w:sz w:val="22"/>
              <w:szCs w:val="22"/>
              <w:lang w:val="it-IT"/>
            </w:rPr>
            <w:t>4</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6C3988A4"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1703D">
            <w:rPr>
              <w:rFonts w:ascii="Poppins" w:hAnsi="Poppins" w:cs="Poppins"/>
              <w:b/>
              <w:sz w:val="22"/>
              <w:szCs w:val="22"/>
              <w:lang w:val="it-IT"/>
            </w:rPr>
            <w:t>2</w:t>
          </w:r>
          <w:r w:rsidR="00AB08AA">
            <w:rPr>
              <w:rFonts w:ascii="Poppins" w:hAnsi="Poppins" w:cs="Poppins"/>
              <w:b/>
              <w:sz w:val="22"/>
              <w:szCs w:val="22"/>
              <w:lang w:val="it-IT"/>
            </w:rPr>
            <w:t>4</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0946F9A3"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105DB1">
            <w:rPr>
              <w:rFonts w:ascii="Poppins" w:hAnsi="Poppins" w:cs="Poppins"/>
              <w:b/>
              <w:sz w:val="22"/>
              <w:szCs w:val="22"/>
              <w:lang w:val="it-IT"/>
            </w:rPr>
            <w:t>2</w:t>
          </w:r>
          <w:r w:rsidR="00AB08AA">
            <w:rPr>
              <w:rFonts w:ascii="Poppins" w:hAnsi="Poppins" w:cs="Poppins"/>
              <w:b/>
              <w:sz w:val="22"/>
              <w:szCs w:val="22"/>
              <w:lang w:val="it-IT"/>
            </w:rPr>
            <w:t>4</w:t>
          </w:r>
          <w:r w:rsidR="00D6044B">
            <w:rPr>
              <w:rFonts w:ascii="Poppins" w:hAnsi="Poppins" w:cs="Poppins"/>
              <w:b/>
              <w:sz w:val="22"/>
              <w:szCs w:val="22"/>
              <w:lang w:val="it-IT"/>
            </w:rPr>
            <w:t>-</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6AE30981"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C51147">
            <w:rPr>
              <w:rFonts w:ascii="Poppins" w:hAnsi="Poppins" w:cs="Poppins"/>
              <w:b/>
              <w:sz w:val="22"/>
              <w:szCs w:val="22"/>
              <w:lang w:val="it-IT"/>
            </w:rPr>
            <w:t>2</w:t>
          </w:r>
          <w:r w:rsidR="00AB08AA">
            <w:rPr>
              <w:rFonts w:ascii="Poppins" w:hAnsi="Poppins" w:cs="Poppins"/>
              <w:b/>
              <w:sz w:val="22"/>
              <w:szCs w:val="22"/>
              <w:lang w:val="it-IT"/>
            </w:rPr>
            <w:t>4</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40649483">
    <w:abstractNumId w:val="5"/>
  </w:num>
  <w:num w:numId="2" w16cid:durableId="1266183392">
    <w:abstractNumId w:val="14"/>
  </w:num>
  <w:num w:numId="3" w16cid:durableId="1859926252">
    <w:abstractNumId w:val="15"/>
  </w:num>
  <w:num w:numId="4" w16cid:durableId="1958096364">
    <w:abstractNumId w:val="0"/>
  </w:num>
  <w:num w:numId="5" w16cid:durableId="1259219264">
    <w:abstractNumId w:val="17"/>
  </w:num>
  <w:num w:numId="6" w16cid:durableId="1016688279">
    <w:abstractNumId w:val="21"/>
  </w:num>
  <w:num w:numId="7" w16cid:durableId="593169316">
    <w:abstractNumId w:val="20"/>
  </w:num>
  <w:num w:numId="8" w16cid:durableId="1844396008">
    <w:abstractNumId w:val="13"/>
  </w:num>
  <w:num w:numId="9" w16cid:durableId="378554162">
    <w:abstractNumId w:val="18"/>
  </w:num>
  <w:num w:numId="10" w16cid:durableId="1455634553">
    <w:abstractNumId w:val="7"/>
  </w:num>
  <w:num w:numId="11" w16cid:durableId="421729119">
    <w:abstractNumId w:val="16"/>
  </w:num>
  <w:num w:numId="12" w16cid:durableId="1410927194">
    <w:abstractNumId w:val="6"/>
  </w:num>
  <w:num w:numId="13" w16cid:durableId="364670801">
    <w:abstractNumId w:val="4"/>
  </w:num>
  <w:num w:numId="14" w16cid:durableId="441538538">
    <w:abstractNumId w:val="8"/>
  </w:num>
  <w:num w:numId="15" w16cid:durableId="827403895">
    <w:abstractNumId w:val="12"/>
  </w:num>
  <w:num w:numId="16" w16cid:durableId="1874490480">
    <w:abstractNumId w:val="23"/>
  </w:num>
  <w:num w:numId="17" w16cid:durableId="1054625504">
    <w:abstractNumId w:val="24"/>
  </w:num>
  <w:num w:numId="18" w16cid:durableId="1329864105">
    <w:abstractNumId w:val="9"/>
  </w:num>
  <w:num w:numId="19" w16cid:durableId="357972010">
    <w:abstractNumId w:val="3"/>
  </w:num>
  <w:num w:numId="20" w16cid:durableId="1304237983">
    <w:abstractNumId w:val="4"/>
  </w:num>
  <w:num w:numId="21" w16cid:durableId="1372731212">
    <w:abstractNumId w:val="23"/>
  </w:num>
  <w:num w:numId="22" w16cid:durableId="2013310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1395228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46230517">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52979613">
    <w:abstractNumId w:val="19"/>
  </w:num>
  <w:num w:numId="26" w16cid:durableId="858351664">
    <w:abstractNumId w:val="22"/>
  </w:num>
  <w:num w:numId="27" w16cid:durableId="336034808">
    <w:abstractNumId w:val="10"/>
  </w:num>
  <w:num w:numId="28" w16cid:durableId="299846339">
    <w:abstractNumId w:val="1"/>
  </w:num>
  <w:num w:numId="29" w16cid:durableId="731006733">
    <w:abstractNumId w:val="2"/>
  </w:num>
  <w:num w:numId="30" w16cid:durableId="1606502355">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3F0F"/>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6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59"/>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57F75"/>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4C0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9FB"/>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1EC"/>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0B25"/>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B2C"/>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DB1"/>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958"/>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25"/>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74"/>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A01"/>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B0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148"/>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1FB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20B"/>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C56"/>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413"/>
    <w:rsid w:val="00270608"/>
    <w:rsid w:val="0027062B"/>
    <w:rsid w:val="00270637"/>
    <w:rsid w:val="0027085D"/>
    <w:rsid w:val="002709A1"/>
    <w:rsid w:val="00270A73"/>
    <w:rsid w:val="00270AA8"/>
    <w:rsid w:val="0027104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5958"/>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4AF"/>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8A"/>
    <w:rsid w:val="002F0ABB"/>
    <w:rsid w:val="002F0F64"/>
    <w:rsid w:val="002F1057"/>
    <w:rsid w:val="002F13B6"/>
    <w:rsid w:val="002F148C"/>
    <w:rsid w:val="002F158F"/>
    <w:rsid w:val="002F16A5"/>
    <w:rsid w:val="002F1AB9"/>
    <w:rsid w:val="002F1CCF"/>
    <w:rsid w:val="002F1F71"/>
    <w:rsid w:val="002F223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A76"/>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8CE"/>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939"/>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467"/>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1B"/>
    <w:rsid w:val="0033362D"/>
    <w:rsid w:val="00333732"/>
    <w:rsid w:val="00333922"/>
    <w:rsid w:val="00333BC7"/>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6EE"/>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3B"/>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1AA"/>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2A"/>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3A"/>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5A3"/>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39F"/>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C12"/>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0F7"/>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B79"/>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A11"/>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7EC"/>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0FFD"/>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AAD"/>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22E"/>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DC3"/>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7BE"/>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3F9D"/>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426"/>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AAF"/>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3FC5"/>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8AB"/>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88"/>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559"/>
    <w:rsid w:val="00615605"/>
    <w:rsid w:val="00615788"/>
    <w:rsid w:val="0061583F"/>
    <w:rsid w:val="006158A0"/>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74B"/>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4C2"/>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46"/>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895"/>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41"/>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626"/>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314"/>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708"/>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3F85"/>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4E"/>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3A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AA9"/>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D93"/>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1A1"/>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C98"/>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B62"/>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D86"/>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10"/>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291"/>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30E"/>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2DB1"/>
    <w:rsid w:val="0080315D"/>
    <w:rsid w:val="00803499"/>
    <w:rsid w:val="0080353B"/>
    <w:rsid w:val="008037C9"/>
    <w:rsid w:val="008037EE"/>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6C"/>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26"/>
    <w:rsid w:val="00836095"/>
    <w:rsid w:val="008360C7"/>
    <w:rsid w:val="008362F9"/>
    <w:rsid w:val="008362FC"/>
    <w:rsid w:val="0083666B"/>
    <w:rsid w:val="00836EC1"/>
    <w:rsid w:val="00836EE3"/>
    <w:rsid w:val="00836EF4"/>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1F7"/>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B3C"/>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350"/>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DB8"/>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665"/>
    <w:rsid w:val="00891707"/>
    <w:rsid w:val="0089182D"/>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CB9"/>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8D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9F0"/>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585"/>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532"/>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6CE3"/>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30E"/>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3F52"/>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A4A"/>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2EC"/>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1E3"/>
    <w:rsid w:val="00986360"/>
    <w:rsid w:val="009868E2"/>
    <w:rsid w:val="00986A53"/>
    <w:rsid w:val="00986AB4"/>
    <w:rsid w:val="00986BAF"/>
    <w:rsid w:val="00986CE1"/>
    <w:rsid w:val="00986DD8"/>
    <w:rsid w:val="00986E7F"/>
    <w:rsid w:val="00987455"/>
    <w:rsid w:val="00987B2E"/>
    <w:rsid w:val="00987CCC"/>
    <w:rsid w:val="00987D45"/>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7E"/>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DA9"/>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55B"/>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2BE"/>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152"/>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637"/>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81A"/>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0E1"/>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8AA"/>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5F72"/>
    <w:rsid w:val="00AB615E"/>
    <w:rsid w:val="00AB6306"/>
    <w:rsid w:val="00AB648E"/>
    <w:rsid w:val="00AB6555"/>
    <w:rsid w:val="00AB66AF"/>
    <w:rsid w:val="00AB66DB"/>
    <w:rsid w:val="00AB68D9"/>
    <w:rsid w:val="00AB6A14"/>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DB6"/>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2C7"/>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1D"/>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981"/>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B9F"/>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8AC"/>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C2"/>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9D8"/>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362"/>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AA5"/>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992"/>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961"/>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46B"/>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147"/>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5B"/>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86C"/>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0FFB"/>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33"/>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5E42"/>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C80"/>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9EC"/>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4B"/>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9D1"/>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2EDF"/>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A1"/>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6F4"/>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573"/>
    <w:rsid w:val="00DB58FF"/>
    <w:rsid w:val="00DB5F1C"/>
    <w:rsid w:val="00DB5F47"/>
    <w:rsid w:val="00DB6376"/>
    <w:rsid w:val="00DB6772"/>
    <w:rsid w:val="00DB6AE7"/>
    <w:rsid w:val="00DB6AF4"/>
    <w:rsid w:val="00DB6D7E"/>
    <w:rsid w:val="00DB6E9A"/>
    <w:rsid w:val="00DB7180"/>
    <w:rsid w:val="00DB76EE"/>
    <w:rsid w:val="00DB79C6"/>
    <w:rsid w:val="00DB7E5E"/>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C7F41"/>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468"/>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3D"/>
    <w:rsid w:val="00E1706D"/>
    <w:rsid w:val="00E17132"/>
    <w:rsid w:val="00E17238"/>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10"/>
    <w:rsid w:val="00E562B5"/>
    <w:rsid w:val="00E562EE"/>
    <w:rsid w:val="00E5631D"/>
    <w:rsid w:val="00E5637D"/>
    <w:rsid w:val="00E565B6"/>
    <w:rsid w:val="00E565F0"/>
    <w:rsid w:val="00E56714"/>
    <w:rsid w:val="00E567D4"/>
    <w:rsid w:val="00E568D0"/>
    <w:rsid w:val="00E568E8"/>
    <w:rsid w:val="00E56970"/>
    <w:rsid w:val="00E56B91"/>
    <w:rsid w:val="00E56CE9"/>
    <w:rsid w:val="00E56DFB"/>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DC2"/>
    <w:rsid w:val="00E64E18"/>
    <w:rsid w:val="00E64E85"/>
    <w:rsid w:val="00E64F6B"/>
    <w:rsid w:val="00E65F9A"/>
    <w:rsid w:val="00E665A1"/>
    <w:rsid w:val="00E66B50"/>
    <w:rsid w:val="00E66B5B"/>
    <w:rsid w:val="00E66D26"/>
    <w:rsid w:val="00E66DC4"/>
    <w:rsid w:val="00E66F6B"/>
    <w:rsid w:val="00E67247"/>
    <w:rsid w:val="00E6726D"/>
    <w:rsid w:val="00E6736F"/>
    <w:rsid w:val="00E6770D"/>
    <w:rsid w:val="00E67758"/>
    <w:rsid w:val="00E67881"/>
    <w:rsid w:val="00E67900"/>
    <w:rsid w:val="00E67B29"/>
    <w:rsid w:val="00E67BCD"/>
    <w:rsid w:val="00E67E99"/>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3F4B"/>
    <w:rsid w:val="00E8434A"/>
    <w:rsid w:val="00E845EB"/>
    <w:rsid w:val="00E84624"/>
    <w:rsid w:val="00E84650"/>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36A"/>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B7EEB"/>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6DE"/>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3E71"/>
    <w:rsid w:val="00F040A5"/>
    <w:rsid w:val="00F0412A"/>
    <w:rsid w:val="00F0428C"/>
    <w:rsid w:val="00F04325"/>
    <w:rsid w:val="00F04460"/>
    <w:rsid w:val="00F04658"/>
    <w:rsid w:val="00F04929"/>
    <w:rsid w:val="00F04CE1"/>
    <w:rsid w:val="00F04DC3"/>
    <w:rsid w:val="00F04FD1"/>
    <w:rsid w:val="00F050DD"/>
    <w:rsid w:val="00F05DA4"/>
    <w:rsid w:val="00F05E5D"/>
    <w:rsid w:val="00F061DA"/>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9A"/>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15C"/>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1E1"/>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71F"/>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90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4E6"/>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4DF"/>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Fuerte">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eruweek.pe/tag/glp/" TargetMode="External"/><Relationship Id="rId18" Type="http://schemas.openxmlformats.org/officeDocument/2006/relationships/header" Target="header2.xml"/><Relationship Id="rId26" Type="http://schemas.openxmlformats.org/officeDocument/2006/relationships/image" Target="media/image10.emf"/><Relationship Id="rId39" Type="http://schemas.openxmlformats.org/officeDocument/2006/relationships/theme" Target="theme/theme1.xml"/><Relationship Id="rId21" Type="http://schemas.openxmlformats.org/officeDocument/2006/relationships/footer" Target="footer3.xml"/><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1.xm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header" Target="head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hyperlink" Target="https://www.osinergmin.gob.pe/seccion/centro_documental/gart/precios_referencia_banda_precios/PreciosReferencia/Informe-Tecnico-479-2021-GRT.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1483</TotalTime>
  <Pages>20</Pages>
  <Words>5539</Words>
  <Characters>30469</Characters>
  <Application>Microsoft Office Word</Application>
  <DocSecurity>0</DocSecurity>
  <Lines>253</Lines>
  <Paragraphs>71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35937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Alexander Oshiro Seminario Cacha</cp:lastModifiedBy>
  <cp:revision>48</cp:revision>
  <cp:lastPrinted>2026-02-16T14:35:00Z</cp:lastPrinted>
  <dcterms:created xsi:type="dcterms:W3CDTF">2026-06-17T01:29:00Z</dcterms:created>
  <dcterms:modified xsi:type="dcterms:W3CDTF">2026-06-18T01:00:00Z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